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224" w:rsidRDefault="00B61224" w:rsidP="00B61224">
      <w:pPr>
        <w:pStyle w:val="Title"/>
      </w:pPr>
      <w:r>
        <w:t>The Braille Authority of New Zealand</w:t>
      </w:r>
    </w:p>
    <w:p w:rsidR="00B61224" w:rsidRDefault="00B61224" w:rsidP="00B61224">
      <w:pPr>
        <w:pStyle w:val="Title"/>
      </w:pPr>
      <w:r>
        <w:t>Aotearoa Trust (BANZAT)</w:t>
      </w:r>
    </w:p>
    <w:p w:rsidR="00B61224" w:rsidRDefault="00B61224" w:rsidP="00B61224">
      <w:pPr>
        <w:pStyle w:val="HeadingBlank"/>
      </w:pPr>
    </w:p>
    <w:p w:rsidR="00B61224" w:rsidRDefault="00B61224" w:rsidP="00B61224">
      <w:pPr>
        <w:pStyle w:val="Title"/>
      </w:pPr>
      <w:r>
        <w:t>Performance Report</w:t>
      </w:r>
    </w:p>
    <w:p w:rsidR="00B61224" w:rsidRDefault="00B61224" w:rsidP="00B61224">
      <w:pPr>
        <w:pStyle w:val="HeadingBlank"/>
      </w:pPr>
    </w:p>
    <w:p w:rsidR="00B61224" w:rsidRDefault="00B61224" w:rsidP="00B61224">
      <w:pPr>
        <w:pStyle w:val="Title"/>
      </w:pPr>
      <w:r>
        <w:t>For the Year Ended 30 June 2019</w:t>
      </w:r>
    </w:p>
    <w:p w:rsidR="00B61224" w:rsidRDefault="00B61224" w:rsidP="00B61224">
      <w:pPr>
        <w:pStyle w:val="HeadingBlank"/>
      </w:pPr>
    </w:p>
    <w:p w:rsidR="00B61224" w:rsidRDefault="00B61224" w:rsidP="00B61224">
      <w:pPr>
        <w:rPr>
          <w:b/>
        </w:rPr>
      </w:pPr>
      <w:r>
        <w:rPr>
          <w:b/>
        </w:rPr>
        <w:t>Contents</w:t>
      </w:r>
    </w:p>
    <w:p w:rsidR="000569A6" w:rsidRDefault="000569A6" w:rsidP="00B61224"/>
    <w:p w:rsidR="000569A6" w:rsidRDefault="00F75AAA">
      <w:pPr>
        <w:pStyle w:val="TOC1"/>
        <w:tabs>
          <w:tab w:val="right" w:leader="dot" w:pos="9019"/>
        </w:tabs>
        <w:rPr>
          <w:noProof/>
        </w:rPr>
      </w:pPr>
      <w:r>
        <w:fldChar w:fldCharType="begin"/>
      </w:r>
      <w:r w:rsidR="000569A6">
        <w:instrText xml:space="preserve"> TOC \o "1-2" \h \z \u </w:instrText>
      </w:r>
      <w:r>
        <w:fldChar w:fldCharType="separate"/>
      </w:r>
      <w:hyperlink w:anchor="_Toc18497716" w:history="1">
        <w:r w:rsidR="000569A6" w:rsidRPr="0087457E">
          <w:rPr>
            <w:rStyle w:val="Hyperlink"/>
            <w:noProof/>
          </w:rPr>
          <w:t>Non-Financial Information</w:t>
        </w:r>
        <w:r w:rsidR="000569A6">
          <w:rPr>
            <w:noProof/>
            <w:webHidden/>
          </w:rPr>
          <w:tab/>
        </w:r>
        <w:r>
          <w:rPr>
            <w:noProof/>
            <w:webHidden/>
          </w:rPr>
          <w:fldChar w:fldCharType="begin"/>
        </w:r>
        <w:r w:rsidR="000569A6">
          <w:rPr>
            <w:noProof/>
            <w:webHidden/>
          </w:rPr>
          <w:instrText xml:space="preserve"> PAGEREF _Toc18497716 \h </w:instrText>
        </w:r>
        <w:r>
          <w:rPr>
            <w:noProof/>
            <w:webHidden/>
          </w:rPr>
        </w:r>
        <w:r>
          <w:rPr>
            <w:noProof/>
            <w:webHidden/>
          </w:rPr>
          <w:fldChar w:fldCharType="separate"/>
        </w:r>
        <w:r w:rsidR="000569A6">
          <w:rPr>
            <w:noProof/>
            <w:webHidden/>
          </w:rPr>
          <w:t>2</w:t>
        </w:r>
        <w:r>
          <w:rPr>
            <w:noProof/>
            <w:webHidden/>
          </w:rPr>
          <w:fldChar w:fldCharType="end"/>
        </w:r>
      </w:hyperlink>
    </w:p>
    <w:p w:rsidR="000569A6" w:rsidRDefault="00F75AAA">
      <w:pPr>
        <w:pStyle w:val="TOC2"/>
        <w:tabs>
          <w:tab w:val="right" w:leader="dot" w:pos="9019"/>
        </w:tabs>
        <w:rPr>
          <w:noProof/>
        </w:rPr>
      </w:pPr>
      <w:hyperlink w:anchor="_Toc18497717" w:history="1">
        <w:r w:rsidR="000569A6" w:rsidRPr="0087457E">
          <w:rPr>
            <w:rStyle w:val="Hyperlink"/>
            <w:noProof/>
          </w:rPr>
          <w:t>Entity Information</w:t>
        </w:r>
        <w:r w:rsidR="000569A6">
          <w:rPr>
            <w:noProof/>
            <w:webHidden/>
          </w:rPr>
          <w:tab/>
        </w:r>
        <w:r>
          <w:rPr>
            <w:noProof/>
            <w:webHidden/>
          </w:rPr>
          <w:fldChar w:fldCharType="begin"/>
        </w:r>
        <w:r w:rsidR="000569A6">
          <w:rPr>
            <w:noProof/>
            <w:webHidden/>
          </w:rPr>
          <w:instrText xml:space="preserve"> PAGEREF _Toc18497717 \h </w:instrText>
        </w:r>
        <w:r>
          <w:rPr>
            <w:noProof/>
            <w:webHidden/>
          </w:rPr>
        </w:r>
        <w:r>
          <w:rPr>
            <w:noProof/>
            <w:webHidden/>
          </w:rPr>
          <w:fldChar w:fldCharType="separate"/>
        </w:r>
        <w:r w:rsidR="000569A6">
          <w:rPr>
            <w:noProof/>
            <w:webHidden/>
          </w:rPr>
          <w:t>2</w:t>
        </w:r>
        <w:r>
          <w:rPr>
            <w:noProof/>
            <w:webHidden/>
          </w:rPr>
          <w:fldChar w:fldCharType="end"/>
        </w:r>
      </w:hyperlink>
    </w:p>
    <w:p w:rsidR="000569A6" w:rsidRDefault="000569A6">
      <w:pPr>
        <w:pStyle w:val="TOC2"/>
        <w:tabs>
          <w:tab w:val="right" w:leader="dot" w:pos="9019"/>
        </w:tabs>
        <w:rPr>
          <w:rStyle w:val="Hyperlink"/>
          <w:noProof/>
        </w:rPr>
      </w:pPr>
    </w:p>
    <w:p w:rsidR="000569A6" w:rsidRDefault="00F75AAA">
      <w:pPr>
        <w:pStyle w:val="TOC2"/>
        <w:tabs>
          <w:tab w:val="right" w:leader="dot" w:pos="9019"/>
        </w:tabs>
        <w:rPr>
          <w:noProof/>
        </w:rPr>
      </w:pPr>
      <w:hyperlink w:anchor="_Toc18497718" w:history="1">
        <w:r w:rsidR="000569A6" w:rsidRPr="0087457E">
          <w:rPr>
            <w:rStyle w:val="Hyperlink"/>
            <w:noProof/>
          </w:rPr>
          <w:t>Statement of Service Performance</w:t>
        </w:r>
        <w:r w:rsidR="000569A6">
          <w:rPr>
            <w:noProof/>
            <w:webHidden/>
          </w:rPr>
          <w:tab/>
        </w:r>
        <w:r>
          <w:rPr>
            <w:noProof/>
            <w:webHidden/>
          </w:rPr>
          <w:fldChar w:fldCharType="begin"/>
        </w:r>
        <w:r w:rsidR="000569A6">
          <w:rPr>
            <w:noProof/>
            <w:webHidden/>
          </w:rPr>
          <w:instrText xml:space="preserve"> PAGEREF _Toc18497718 \h </w:instrText>
        </w:r>
        <w:r>
          <w:rPr>
            <w:noProof/>
            <w:webHidden/>
          </w:rPr>
        </w:r>
        <w:r>
          <w:rPr>
            <w:noProof/>
            <w:webHidden/>
          </w:rPr>
          <w:fldChar w:fldCharType="separate"/>
        </w:r>
        <w:r w:rsidR="000569A6">
          <w:rPr>
            <w:noProof/>
            <w:webHidden/>
          </w:rPr>
          <w:t>5</w:t>
        </w:r>
        <w:r>
          <w:rPr>
            <w:noProof/>
            <w:webHidden/>
          </w:rPr>
          <w:fldChar w:fldCharType="end"/>
        </w:r>
      </w:hyperlink>
    </w:p>
    <w:p w:rsidR="000569A6" w:rsidRDefault="000569A6">
      <w:pPr>
        <w:pStyle w:val="TOC1"/>
        <w:tabs>
          <w:tab w:val="right" w:leader="dot" w:pos="9019"/>
        </w:tabs>
        <w:rPr>
          <w:rStyle w:val="Hyperlink"/>
          <w:noProof/>
        </w:rPr>
      </w:pPr>
    </w:p>
    <w:p w:rsidR="000569A6" w:rsidRDefault="00F75AAA">
      <w:pPr>
        <w:pStyle w:val="TOC1"/>
        <w:tabs>
          <w:tab w:val="right" w:leader="dot" w:pos="9019"/>
        </w:tabs>
        <w:rPr>
          <w:noProof/>
        </w:rPr>
      </w:pPr>
      <w:hyperlink w:anchor="_Toc18497719" w:history="1">
        <w:r w:rsidR="000569A6" w:rsidRPr="0087457E">
          <w:rPr>
            <w:rStyle w:val="Hyperlink"/>
            <w:noProof/>
          </w:rPr>
          <w:t>Financial Information</w:t>
        </w:r>
        <w:r w:rsidR="000569A6">
          <w:rPr>
            <w:noProof/>
            <w:webHidden/>
          </w:rPr>
          <w:tab/>
        </w:r>
        <w:r>
          <w:rPr>
            <w:noProof/>
            <w:webHidden/>
          </w:rPr>
          <w:fldChar w:fldCharType="begin"/>
        </w:r>
        <w:r w:rsidR="000569A6">
          <w:rPr>
            <w:noProof/>
            <w:webHidden/>
          </w:rPr>
          <w:instrText xml:space="preserve"> PAGEREF _Toc18497719 \h </w:instrText>
        </w:r>
        <w:r>
          <w:rPr>
            <w:noProof/>
            <w:webHidden/>
          </w:rPr>
        </w:r>
        <w:r>
          <w:rPr>
            <w:noProof/>
            <w:webHidden/>
          </w:rPr>
          <w:fldChar w:fldCharType="separate"/>
        </w:r>
        <w:r w:rsidR="000569A6">
          <w:rPr>
            <w:noProof/>
            <w:webHidden/>
          </w:rPr>
          <w:t>9</w:t>
        </w:r>
        <w:r>
          <w:rPr>
            <w:noProof/>
            <w:webHidden/>
          </w:rPr>
          <w:fldChar w:fldCharType="end"/>
        </w:r>
      </w:hyperlink>
    </w:p>
    <w:p w:rsidR="000569A6" w:rsidRDefault="00F75AAA">
      <w:pPr>
        <w:pStyle w:val="TOC2"/>
        <w:tabs>
          <w:tab w:val="right" w:leader="dot" w:pos="9019"/>
        </w:tabs>
        <w:rPr>
          <w:noProof/>
        </w:rPr>
      </w:pPr>
      <w:hyperlink w:anchor="_Toc18497720" w:history="1">
        <w:r w:rsidR="000569A6" w:rsidRPr="0087457E">
          <w:rPr>
            <w:rStyle w:val="Hyperlink"/>
            <w:noProof/>
          </w:rPr>
          <w:t>Statement of Financial Performance</w:t>
        </w:r>
        <w:r w:rsidR="000569A6">
          <w:rPr>
            <w:noProof/>
            <w:webHidden/>
          </w:rPr>
          <w:tab/>
        </w:r>
        <w:r>
          <w:rPr>
            <w:noProof/>
            <w:webHidden/>
          </w:rPr>
          <w:fldChar w:fldCharType="begin"/>
        </w:r>
        <w:r w:rsidR="000569A6">
          <w:rPr>
            <w:noProof/>
            <w:webHidden/>
          </w:rPr>
          <w:instrText xml:space="preserve"> PAGEREF _Toc18497720 \h </w:instrText>
        </w:r>
        <w:r>
          <w:rPr>
            <w:noProof/>
            <w:webHidden/>
          </w:rPr>
        </w:r>
        <w:r>
          <w:rPr>
            <w:noProof/>
            <w:webHidden/>
          </w:rPr>
          <w:fldChar w:fldCharType="separate"/>
        </w:r>
        <w:r w:rsidR="000569A6">
          <w:rPr>
            <w:noProof/>
            <w:webHidden/>
          </w:rPr>
          <w:t>9</w:t>
        </w:r>
        <w:r>
          <w:rPr>
            <w:noProof/>
            <w:webHidden/>
          </w:rPr>
          <w:fldChar w:fldCharType="end"/>
        </w:r>
      </w:hyperlink>
    </w:p>
    <w:p w:rsidR="000569A6" w:rsidRDefault="00F75AAA">
      <w:pPr>
        <w:pStyle w:val="TOC2"/>
        <w:tabs>
          <w:tab w:val="right" w:leader="dot" w:pos="9019"/>
        </w:tabs>
        <w:rPr>
          <w:noProof/>
        </w:rPr>
      </w:pPr>
      <w:hyperlink w:anchor="_Toc18497721" w:history="1">
        <w:r w:rsidR="000569A6" w:rsidRPr="0087457E">
          <w:rPr>
            <w:rStyle w:val="Hyperlink"/>
            <w:noProof/>
          </w:rPr>
          <w:t>Statement of Financial Position</w:t>
        </w:r>
        <w:r w:rsidR="000569A6">
          <w:rPr>
            <w:noProof/>
            <w:webHidden/>
          </w:rPr>
          <w:tab/>
        </w:r>
        <w:r>
          <w:rPr>
            <w:noProof/>
            <w:webHidden/>
          </w:rPr>
          <w:fldChar w:fldCharType="begin"/>
        </w:r>
        <w:r w:rsidR="000569A6">
          <w:rPr>
            <w:noProof/>
            <w:webHidden/>
          </w:rPr>
          <w:instrText xml:space="preserve"> PAGEREF _Toc18497721 \h </w:instrText>
        </w:r>
        <w:r>
          <w:rPr>
            <w:noProof/>
            <w:webHidden/>
          </w:rPr>
        </w:r>
        <w:r>
          <w:rPr>
            <w:noProof/>
            <w:webHidden/>
          </w:rPr>
          <w:fldChar w:fldCharType="separate"/>
        </w:r>
        <w:r w:rsidR="000569A6">
          <w:rPr>
            <w:noProof/>
            <w:webHidden/>
          </w:rPr>
          <w:t>10</w:t>
        </w:r>
        <w:r>
          <w:rPr>
            <w:noProof/>
            <w:webHidden/>
          </w:rPr>
          <w:fldChar w:fldCharType="end"/>
        </w:r>
      </w:hyperlink>
    </w:p>
    <w:p w:rsidR="000569A6" w:rsidRDefault="00F75AAA">
      <w:pPr>
        <w:pStyle w:val="TOC2"/>
        <w:tabs>
          <w:tab w:val="right" w:leader="dot" w:pos="9019"/>
        </w:tabs>
        <w:rPr>
          <w:noProof/>
        </w:rPr>
      </w:pPr>
      <w:hyperlink w:anchor="_Toc18497722" w:history="1">
        <w:r w:rsidR="000569A6" w:rsidRPr="0087457E">
          <w:rPr>
            <w:rStyle w:val="Hyperlink"/>
            <w:noProof/>
          </w:rPr>
          <w:t>Statement of Cash Flows</w:t>
        </w:r>
        <w:r w:rsidR="000569A6">
          <w:rPr>
            <w:noProof/>
            <w:webHidden/>
          </w:rPr>
          <w:tab/>
        </w:r>
        <w:r>
          <w:rPr>
            <w:noProof/>
            <w:webHidden/>
          </w:rPr>
          <w:fldChar w:fldCharType="begin"/>
        </w:r>
        <w:r w:rsidR="000569A6">
          <w:rPr>
            <w:noProof/>
            <w:webHidden/>
          </w:rPr>
          <w:instrText xml:space="preserve"> PAGEREF _Toc18497722 \h </w:instrText>
        </w:r>
        <w:r>
          <w:rPr>
            <w:noProof/>
            <w:webHidden/>
          </w:rPr>
        </w:r>
        <w:r>
          <w:rPr>
            <w:noProof/>
            <w:webHidden/>
          </w:rPr>
          <w:fldChar w:fldCharType="separate"/>
        </w:r>
        <w:r w:rsidR="000569A6">
          <w:rPr>
            <w:noProof/>
            <w:webHidden/>
          </w:rPr>
          <w:t>11</w:t>
        </w:r>
        <w:r>
          <w:rPr>
            <w:noProof/>
            <w:webHidden/>
          </w:rPr>
          <w:fldChar w:fldCharType="end"/>
        </w:r>
      </w:hyperlink>
    </w:p>
    <w:p w:rsidR="000569A6" w:rsidRDefault="00F75AAA">
      <w:pPr>
        <w:pStyle w:val="TOC2"/>
        <w:tabs>
          <w:tab w:val="right" w:leader="dot" w:pos="9019"/>
        </w:tabs>
        <w:rPr>
          <w:noProof/>
        </w:rPr>
      </w:pPr>
      <w:hyperlink w:anchor="_Toc18497723" w:history="1">
        <w:r w:rsidR="000569A6" w:rsidRPr="0087457E">
          <w:rPr>
            <w:rStyle w:val="Hyperlink"/>
            <w:noProof/>
          </w:rPr>
          <w:t>Statement of Accounting Policies</w:t>
        </w:r>
        <w:r w:rsidR="000569A6">
          <w:rPr>
            <w:noProof/>
            <w:webHidden/>
          </w:rPr>
          <w:tab/>
        </w:r>
        <w:r>
          <w:rPr>
            <w:noProof/>
            <w:webHidden/>
          </w:rPr>
          <w:fldChar w:fldCharType="begin"/>
        </w:r>
        <w:r w:rsidR="000569A6">
          <w:rPr>
            <w:noProof/>
            <w:webHidden/>
          </w:rPr>
          <w:instrText xml:space="preserve"> PAGEREF _Toc18497723 \h </w:instrText>
        </w:r>
        <w:r>
          <w:rPr>
            <w:noProof/>
            <w:webHidden/>
          </w:rPr>
        </w:r>
        <w:r>
          <w:rPr>
            <w:noProof/>
            <w:webHidden/>
          </w:rPr>
          <w:fldChar w:fldCharType="separate"/>
        </w:r>
        <w:r w:rsidR="000569A6">
          <w:rPr>
            <w:noProof/>
            <w:webHidden/>
          </w:rPr>
          <w:t>12</w:t>
        </w:r>
        <w:r>
          <w:rPr>
            <w:noProof/>
            <w:webHidden/>
          </w:rPr>
          <w:fldChar w:fldCharType="end"/>
        </w:r>
      </w:hyperlink>
    </w:p>
    <w:p w:rsidR="000569A6" w:rsidRDefault="00F75AAA">
      <w:pPr>
        <w:pStyle w:val="TOC2"/>
        <w:tabs>
          <w:tab w:val="right" w:leader="dot" w:pos="9019"/>
        </w:tabs>
        <w:rPr>
          <w:noProof/>
        </w:rPr>
      </w:pPr>
      <w:hyperlink w:anchor="_Toc18497724" w:history="1">
        <w:r w:rsidR="000569A6" w:rsidRPr="0087457E">
          <w:rPr>
            <w:rStyle w:val="Hyperlink"/>
            <w:noProof/>
          </w:rPr>
          <w:t>Notes to the Performance Report</w:t>
        </w:r>
        <w:r w:rsidR="000569A6">
          <w:rPr>
            <w:noProof/>
            <w:webHidden/>
          </w:rPr>
          <w:tab/>
        </w:r>
        <w:r>
          <w:rPr>
            <w:noProof/>
            <w:webHidden/>
          </w:rPr>
          <w:fldChar w:fldCharType="begin"/>
        </w:r>
        <w:r w:rsidR="000569A6">
          <w:rPr>
            <w:noProof/>
            <w:webHidden/>
          </w:rPr>
          <w:instrText xml:space="preserve"> PAGEREF _Toc18497724 \h </w:instrText>
        </w:r>
        <w:r>
          <w:rPr>
            <w:noProof/>
            <w:webHidden/>
          </w:rPr>
        </w:r>
        <w:r>
          <w:rPr>
            <w:noProof/>
            <w:webHidden/>
          </w:rPr>
          <w:fldChar w:fldCharType="separate"/>
        </w:r>
        <w:r w:rsidR="000569A6">
          <w:rPr>
            <w:noProof/>
            <w:webHidden/>
          </w:rPr>
          <w:t>13</w:t>
        </w:r>
        <w:r>
          <w:rPr>
            <w:noProof/>
            <w:webHidden/>
          </w:rPr>
          <w:fldChar w:fldCharType="end"/>
        </w:r>
      </w:hyperlink>
    </w:p>
    <w:p w:rsidR="000569A6" w:rsidRDefault="00F75AAA" w:rsidP="00B61224">
      <w:r>
        <w:fldChar w:fldCharType="end"/>
      </w:r>
    </w:p>
    <w:p w:rsidR="00B61224" w:rsidRDefault="00B61224" w:rsidP="00B61224">
      <w:pPr>
        <w:sectPr w:rsidR="00B61224" w:rsidSect="00B61224">
          <w:headerReference w:type="even" r:id="rId8"/>
          <w:headerReference w:type="default" r:id="rId9"/>
          <w:pgSz w:w="11909" w:h="16834" w:code="9"/>
          <w:pgMar w:top="720" w:right="1440" w:bottom="720" w:left="1440" w:header="720" w:footer="720" w:gutter="0"/>
          <w:cols w:space="720"/>
          <w:titlePg/>
          <w:docGrid w:linePitch="360"/>
        </w:sectPr>
      </w:pPr>
    </w:p>
    <w:p w:rsidR="00B61224" w:rsidRDefault="00B61224" w:rsidP="00B61224">
      <w:pPr>
        <w:pStyle w:val="Title"/>
      </w:pPr>
      <w:r>
        <w:lastRenderedPageBreak/>
        <w:t>The Braille Authority of New Zealand</w:t>
      </w:r>
    </w:p>
    <w:p w:rsidR="00B61224" w:rsidRDefault="00B61224" w:rsidP="00B61224">
      <w:pPr>
        <w:pStyle w:val="Title"/>
      </w:pPr>
      <w:r>
        <w:t>Aotearoa Trust (BANZAT)</w:t>
      </w:r>
    </w:p>
    <w:p w:rsidR="00B61224" w:rsidRDefault="00B61224" w:rsidP="00B61224">
      <w:pPr>
        <w:pStyle w:val="HeadingBlank"/>
      </w:pPr>
    </w:p>
    <w:p w:rsidR="00B61224" w:rsidRDefault="00B61224" w:rsidP="00B61224">
      <w:pPr>
        <w:pStyle w:val="Title"/>
      </w:pPr>
      <w:r>
        <w:t>Performance Report</w:t>
      </w:r>
    </w:p>
    <w:p w:rsidR="00B61224" w:rsidRDefault="00B61224" w:rsidP="00B61224">
      <w:pPr>
        <w:pStyle w:val="HeadingBlank"/>
      </w:pPr>
    </w:p>
    <w:p w:rsidR="00B61224" w:rsidRDefault="00B61224" w:rsidP="00B61224">
      <w:r>
        <w:rPr>
          <w:b/>
        </w:rPr>
        <w:t>For the Year Ended 30 June 2019</w:t>
      </w:r>
    </w:p>
    <w:p w:rsidR="00B61224" w:rsidRDefault="00B61224" w:rsidP="00B61224"/>
    <w:p w:rsidR="00B61224" w:rsidRDefault="00B61224" w:rsidP="00B61224">
      <w:pPr>
        <w:pStyle w:val="Heading1"/>
      </w:pPr>
      <w:bookmarkStart w:id="0" w:name="_Toc18497716"/>
      <w:r>
        <w:t>Non-Financial Information</w:t>
      </w:r>
      <w:bookmarkEnd w:id="0"/>
    </w:p>
    <w:p w:rsidR="00B61224" w:rsidRDefault="00B61224" w:rsidP="00B61224">
      <w:pPr>
        <w:pStyle w:val="HeadingBlank"/>
      </w:pPr>
    </w:p>
    <w:p w:rsidR="00B61224" w:rsidRDefault="00B61224" w:rsidP="00B61224">
      <w:pPr>
        <w:pStyle w:val="Heading2"/>
      </w:pPr>
      <w:bookmarkStart w:id="1" w:name="_Toc18497717"/>
      <w:r>
        <w:t>Entity Information</w:t>
      </w:r>
      <w:bookmarkEnd w:id="1"/>
    </w:p>
    <w:p w:rsidR="00B61224" w:rsidRDefault="00B61224" w:rsidP="00B61224">
      <w:pPr>
        <w:pStyle w:val="HeadingBlank"/>
      </w:pPr>
    </w:p>
    <w:p w:rsidR="00B61224" w:rsidRDefault="00B61224" w:rsidP="00B61224">
      <w:pPr>
        <w:pStyle w:val="lb1"/>
      </w:pPr>
      <w:r>
        <w:t>• BANZAT is a Charitable Trust established under the provisions of the Charitable Trusts Act 1957</w:t>
      </w:r>
    </w:p>
    <w:p w:rsidR="00B61224" w:rsidRDefault="00B61224" w:rsidP="00B61224">
      <w:pPr>
        <w:pStyle w:val="lb1"/>
      </w:pPr>
      <w:r>
        <w:t>• Charity Registration Number CC45306</w:t>
      </w:r>
    </w:p>
    <w:p w:rsidR="00B61224" w:rsidRDefault="00B61224" w:rsidP="00B61224">
      <w:pPr>
        <w:pStyle w:val="lb1"/>
      </w:pPr>
      <w:r>
        <w:t>• NZBN Number: 9429043194131</w:t>
      </w:r>
    </w:p>
    <w:p w:rsidR="00B61224" w:rsidRDefault="00B61224" w:rsidP="00B61224">
      <w:pPr>
        <w:pStyle w:val="lb1"/>
      </w:pPr>
    </w:p>
    <w:p w:rsidR="00B61224" w:rsidRDefault="00B61224" w:rsidP="00B61224">
      <w:pPr>
        <w:pStyle w:val="Heading3"/>
      </w:pPr>
      <w:r>
        <w:t>Purpose</w:t>
      </w:r>
    </w:p>
    <w:p w:rsidR="00B61224" w:rsidRDefault="00B61224" w:rsidP="00B61224">
      <w:pPr>
        <w:pStyle w:val="HeadingBlank"/>
      </w:pPr>
    </w:p>
    <w:p w:rsidR="00B61224" w:rsidRDefault="00B61224" w:rsidP="00B61224">
      <w:r>
        <w:t>Founded in 2010 The Braille Authority of New Zealand Aotearoa Trust (BANZAT) was established by The Settlor, the Royal New Zealand Foundation of the Blind. The setting up of the Trust occurred after more than a year of consultation among individuals and organisations using, teaching and producing braille in New Zealand. The structure of the membership and the purposes of the trust were informed by research into the composition and objectives of the braille authority members of the International Council on English Braille.</w:t>
      </w:r>
    </w:p>
    <w:p w:rsidR="00B61224" w:rsidRDefault="00B61224" w:rsidP="00B61224"/>
    <w:p w:rsidR="00B61224" w:rsidRDefault="00B61224" w:rsidP="00B61224">
      <w:r>
        <w:t>As set out in the Trust Deed, BANZAT has the general objects of allocating and administering funding for the purpose:</w:t>
      </w:r>
    </w:p>
    <w:p w:rsidR="00B61224" w:rsidRDefault="00B61224" w:rsidP="00B61224">
      <w:pPr>
        <w:pStyle w:val="l1"/>
      </w:pPr>
      <w:r>
        <w:t>(a) To set standards and to make rulings on braille code usage within New Zealand;</w:t>
      </w:r>
    </w:p>
    <w:p w:rsidR="00B61224" w:rsidRDefault="00B61224" w:rsidP="00B61224">
      <w:pPr>
        <w:pStyle w:val="l1"/>
      </w:pPr>
      <w:r>
        <w:t>(b) To maintain awareness of, and consistency with, current international developments in all braille codes;</w:t>
      </w:r>
    </w:p>
    <w:p w:rsidR="00B61224" w:rsidRDefault="00B61224" w:rsidP="00B61224">
      <w:pPr>
        <w:pStyle w:val="l1"/>
      </w:pPr>
      <w:r>
        <w:t>(c) To accredit practitioners involved in braille production;</w:t>
      </w:r>
    </w:p>
    <w:p w:rsidR="00B61224" w:rsidRDefault="00B61224" w:rsidP="00B61224">
      <w:pPr>
        <w:pStyle w:val="l1"/>
      </w:pPr>
      <w:r>
        <w:t>(d) To promote braille as the prime literacy medium for blind people;</w:t>
      </w:r>
    </w:p>
    <w:p w:rsidR="00B61224" w:rsidRDefault="00B61224" w:rsidP="00B61224">
      <w:pPr>
        <w:pStyle w:val="l1"/>
      </w:pPr>
      <w:r>
        <w:t>(e) To promote best practice in teaching, acquisition and distribution of braille.</w:t>
      </w:r>
    </w:p>
    <w:p w:rsidR="00B61224" w:rsidRDefault="00B61224" w:rsidP="00B61224">
      <w:pPr>
        <w:pStyle w:val="l1"/>
      </w:pPr>
    </w:p>
    <w:p w:rsidR="00B61224" w:rsidRDefault="00B61224" w:rsidP="00B61224">
      <w:r>
        <w:t>BANZAT works for the benefit of blind and low vision people in New Zealand to heighten awareness of literacy through braille and equitable access to information through its provision in braille – “BANZAT Building Better Braille”.</w:t>
      </w:r>
    </w:p>
    <w:p w:rsidR="00B61224" w:rsidRDefault="00B61224" w:rsidP="00B61224"/>
    <w:p w:rsidR="00B61224" w:rsidRDefault="00B61224" w:rsidP="00B61224">
      <w:pPr>
        <w:pStyle w:val="Heading3"/>
      </w:pPr>
      <w:r>
        <w:t>Entity Structure</w:t>
      </w:r>
    </w:p>
    <w:p w:rsidR="00B61224" w:rsidRDefault="00B61224" w:rsidP="00B61224">
      <w:pPr>
        <w:pStyle w:val="HeadingBlank"/>
      </w:pPr>
    </w:p>
    <w:p w:rsidR="00B61224" w:rsidRDefault="00B61224" w:rsidP="00B61224">
      <w:r>
        <w:t>The BANZAT Trust Deed sets out the composition of the Trust Board whose role is to ensure effective governance of the Trust. BANZAT has 11 trustees. The term of office for all trustees is three years. The terms of one-third of the trustees expire each year. The Deed specifies that each trustee must be able to read uncontracted braille by sight or by touch. There are additional qualifications that it is desirable for trustees to demonstrate.</w:t>
      </w:r>
    </w:p>
    <w:p w:rsidR="00B61224" w:rsidRDefault="00B61224" w:rsidP="00B61224"/>
    <w:p w:rsidR="00B61224" w:rsidRDefault="00B61224" w:rsidP="00B61224">
      <w:r>
        <w:t>There are five founding organisations who appoint seven trustees. The five founding organisations are:</w:t>
      </w:r>
    </w:p>
    <w:p w:rsidR="00B61224" w:rsidRDefault="00B61224" w:rsidP="00B61224">
      <w:pPr>
        <w:pStyle w:val="lb1"/>
      </w:pPr>
      <w:r>
        <w:t>• Royal New Zealand Foundation of the Blind (Blind Foundation), 2 trustees;</w:t>
      </w:r>
    </w:p>
    <w:p w:rsidR="00B61224" w:rsidRDefault="00B61224" w:rsidP="00B61224">
      <w:pPr>
        <w:pStyle w:val="lb1"/>
      </w:pPr>
      <w:r>
        <w:t>• Blind and Low Vision Education Network NZ (BLENNZ), 2 trustees;</w:t>
      </w:r>
    </w:p>
    <w:p w:rsidR="00B61224" w:rsidRDefault="00B61224" w:rsidP="00B61224">
      <w:pPr>
        <w:pStyle w:val="lb1"/>
      </w:pPr>
      <w:r>
        <w:lastRenderedPageBreak/>
        <w:t>• Association of Blind Citizens of New Zealand Incorporated (Blind Citizens NZ), 1 trustee;</w:t>
      </w:r>
    </w:p>
    <w:p w:rsidR="00B61224" w:rsidRDefault="00B61224" w:rsidP="00B61224">
      <w:pPr>
        <w:pStyle w:val="lb1"/>
      </w:pPr>
      <w:r>
        <w:t>• Kāpō Māori Aotearoa/New Zealand Incorporated, 1 trustee;</w:t>
      </w:r>
    </w:p>
    <w:p w:rsidR="00B61224" w:rsidRDefault="00B61224" w:rsidP="00B61224">
      <w:pPr>
        <w:pStyle w:val="lb1"/>
      </w:pPr>
      <w:r>
        <w:t>• Parents of Vision Impaired NZ Incorporated (PVI), 1 trustee.</w:t>
      </w:r>
    </w:p>
    <w:p w:rsidR="00B61224" w:rsidRDefault="00B61224" w:rsidP="00B61224">
      <w:pPr>
        <w:pStyle w:val="lb1"/>
      </w:pPr>
    </w:p>
    <w:p w:rsidR="00B61224" w:rsidRDefault="00B61224" w:rsidP="00B61224">
      <w:r>
        <w:t>The seven trustees appointed by the five founding organisations may appoint up to four additional trustees. When a term of office of an additional trustee falls due, their position is advertised and expressions of interest are invited from members in the braille community.</w:t>
      </w:r>
    </w:p>
    <w:p w:rsidR="00B61224" w:rsidRDefault="00B61224" w:rsidP="00B61224"/>
    <w:p w:rsidR="00B61224" w:rsidRDefault="00B61224" w:rsidP="00B61224">
      <w:r>
        <w:t>One trustee is contracted to provide administrative support – financial, agenda preparation, minute-taking, correspondence and report writing.</w:t>
      </w:r>
    </w:p>
    <w:p w:rsidR="00B61224" w:rsidRDefault="00B61224" w:rsidP="00B61224"/>
    <w:p w:rsidR="00B61224" w:rsidRDefault="00B61224" w:rsidP="00B61224">
      <w:pPr>
        <w:pStyle w:val="Heading3"/>
      </w:pPr>
      <w:r>
        <w:t>Trustees as at 30 June 2019</w:t>
      </w:r>
    </w:p>
    <w:p w:rsidR="00B61224" w:rsidRDefault="00B61224" w:rsidP="00B61224">
      <w:pPr>
        <w:pStyle w:val="HeadingBlank"/>
      </w:pPr>
    </w:p>
    <w:tbl>
      <w:tblPr>
        <w:tblStyle w:val="TableGrid"/>
        <w:tblW w:w="0" w:type="auto"/>
        <w:tblLayout w:type="fixed"/>
        <w:tblCellMar>
          <w:top w:w="60" w:type="dxa"/>
          <w:left w:w="60" w:type="dxa"/>
          <w:bottom w:w="60" w:type="dxa"/>
          <w:right w:w="60" w:type="dxa"/>
        </w:tblCellMar>
        <w:tblLook w:val="0600"/>
      </w:tblPr>
      <w:tblGrid>
        <w:gridCol w:w="4692"/>
        <w:gridCol w:w="2843"/>
        <w:gridCol w:w="1710"/>
      </w:tblGrid>
      <w:tr w:rsidR="00B61224" w:rsidTr="00B61224">
        <w:tc>
          <w:tcPr>
            <w:tcW w:w="4692" w:type="dxa"/>
            <w:shd w:val="clear" w:color="auto" w:fill="auto"/>
          </w:tcPr>
          <w:p w:rsidR="00B61224" w:rsidRDefault="00B61224" w:rsidP="00B61224">
            <w:r>
              <w:t>Name</w:t>
            </w:r>
          </w:p>
        </w:tc>
        <w:tc>
          <w:tcPr>
            <w:tcW w:w="2843" w:type="dxa"/>
            <w:shd w:val="clear" w:color="auto" w:fill="auto"/>
          </w:tcPr>
          <w:p w:rsidR="00B61224" w:rsidRDefault="00B61224" w:rsidP="00B61224">
            <w:r>
              <w:t>Appointed by</w:t>
            </w:r>
          </w:p>
        </w:tc>
        <w:tc>
          <w:tcPr>
            <w:tcW w:w="1710" w:type="dxa"/>
            <w:shd w:val="clear" w:color="auto" w:fill="auto"/>
          </w:tcPr>
          <w:p w:rsidR="00B61224" w:rsidRDefault="00B61224" w:rsidP="00B61224">
            <w:pPr>
              <w:pStyle w:val="right"/>
            </w:pPr>
            <w:r>
              <w:t>Term Expires</w:t>
            </w:r>
          </w:p>
        </w:tc>
      </w:tr>
      <w:tr w:rsidR="00B61224" w:rsidTr="00B61224">
        <w:tc>
          <w:tcPr>
            <w:tcW w:w="4692" w:type="dxa"/>
            <w:shd w:val="clear" w:color="auto" w:fill="auto"/>
          </w:tcPr>
          <w:p w:rsidR="00B61224" w:rsidRDefault="00B61224" w:rsidP="00B61224">
            <w:r>
              <w:t>Paul Brown</w:t>
            </w:r>
          </w:p>
        </w:tc>
        <w:tc>
          <w:tcPr>
            <w:tcW w:w="2843" w:type="dxa"/>
            <w:shd w:val="clear" w:color="auto" w:fill="auto"/>
          </w:tcPr>
          <w:p w:rsidR="00B61224" w:rsidRDefault="00B61224" w:rsidP="00B61224">
            <w:r>
              <w:t>The Seven</w:t>
            </w:r>
          </w:p>
        </w:tc>
        <w:tc>
          <w:tcPr>
            <w:tcW w:w="1710" w:type="dxa"/>
            <w:shd w:val="clear" w:color="auto" w:fill="auto"/>
          </w:tcPr>
          <w:p w:rsidR="00B61224" w:rsidRDefault="00B61224" w:rsidP="00B61224">
            <w:pPr>
              <w:pStyle w:val="right"/>
            </w:pPr>
            <w:r>
              <w:t>2021</w:t>
            </w:r>
          </w:p>
        </w:tc>
      </w:tr>
      <w:tr w:rsidR="00B61224" w:rsidTr="00B61224">
        <w:tc>
          <w:tcPr>
            <w:tcW w:w="4692" w:type="dxa"/>
            <w:shd w:val="clear" w:color="auto" w:fill="auto"/>
          </w:tcPr>
          <w:p w:rsidR="00B61224" w:rsidRDefault="00B61224" w:rsidP="00B61224">
            <w:r>
              <w:t>Leyna Coleman</w:t>
            </w:r>
          </w:p>
        </w:tc>
        <w:tc>
          <w:tcPr>
            <w:tcW w:w="2843" w:type="dxa"/>
            <w:shd w:val="clear" w:color="auto" w:fill="auto"/>
          </w:tcPr>
          <w:p w:rsidR="00B61224" w:rsidRDefault="00B61224" w:rsidP="00B61224">
            <w:r>
              <w:t>Blind Citizens NZ</w:t>
            </w:r>
          </w:p>
        </w:tc>
        <w:tc>
          <w:tcPr>
            <w:tcW w:w="1710" w:type="dxa"/>
            <w:shd w:val="clear" w:color="auto" w:fill="auto"/>
          </w:tcPr>
          <w:p w:rsidR="00B61224" w:rsidRDefault="00B61224" w:rsidP="00B61224">
            <w:pPr>
              <w:pStyle w:val="right"/>
            </w:pPr>
            <w:r>
              <w:t>2021</w:t>
            </w:r>
          </w:p>
        </w:tc>
      </w:tr>
      <w:tr w:rsidR="00B61224" w:rsidTr="00B61224">
        <w:tc>
          <w:tcPr>
            <w:tcW w:w="4692" w:type="dxa"/>
            <w:shd w:val="clear" w:color="auto" w:fill="auto"/>
          </w:tcPr>
          <w:p w:rsidR="00B61224" w:rsidRDefault="00B61224" w:rsidP="00B61224">
            <w:r>
              <w:t>Chantelle Griffiths</w:t>
            </w:r>
          </w:p>
        </w:tc>
        <w:tc>
          <w:tcPr>
            <w:tcW w:w="2843" w:type="dxa"/>
            <w:shd w:val="clear" w:color="auto" w:fill="auto"/>
          </w:tcPr>
          <w:p w:rsidR="00B61224" w:rsidRDefault="00B61224" w:rsidP="00B61224">
            <w:r>
              <w:t>Blind Foundation</w:t>
            </w:r>
          </w:p>
        </w:tc>
        <w:tc>
          <w:tcPr>
            <w:tcW w:w="1710" w:type="dxa"/>
            <w:shd w:val="clear" w:color="auto" w:fill="auto"/>
          </w:tcPr>
          <w:p w:rsidR="00B61224" w:rsidRDefault="00B61224" w:rsidP="00B61224">
            <w:pPr>
              <w:pStyle w:val="right"/>
            </w:pPr>
            <w:r>
              <w:t>2021</w:t>
            </w:r>
          </w:p>
        </w:tc>
      </w:tr>
      <w:tr w:rsidR="00B61224" w:rsidTr="00B61224">
        <w:tc>
          <w:tcPr>
            <w:tcW w:w="4692" w:type="dxa"/>
            <w:shd w:val="clear" w:color="auto" w:fill="auto"/>
          </w:tcPr>
          <w:p w:rsidR="00B61224" w:rsidRDefault="00B61224" w:rsidP="00B61224">
            <w:r>
              <w:t>Nicola McDowell</w:t>
            </w:r>
          </w:p>
        </w:tc>
        <w:tc>
          <w:tcPr>
            <w:tcW w:w="2843" w:type="dxa"/>
            <w:shd w:val="clear" w:color="auto" w:fill="auto"/>
          </w:tcPr>
          <w:p w:rsidR="00B61224" w:rsidRDefault="00B61224" w:rsidP="00B61224">
            <w:r>
              <w:t>The Seven</w:t>
            </w:r>
          </w:p>
        </w:tc>
        <w:tc>
          <w:tcPr>
            <w:tcW w:w="1710" w:type="dxa"/>
            <w:shd w:val="clear" w:color="auto" w:fill="auto"/>
          </w:tcPr>
          <w:p w:rsidR="00B61224" w:rsidRDefault="00B61224" w:rsidP="00B61224">
            <w:pPr>
              <w:pStyle w:val="right"/>
            </w:pPr>
            <w:r>
              <w:t>2020</w:t>
            </w:r>
          </w:p>
        </w:tc>
      </w:tr>
      <w:tr w:rsidR="00B61224" w:rsidTr="00B61224">
        <w:tc>
          <w:tcPr>
            <w:tcW w:w="4692" w:type="dxa"/>
            <w:shd w:val="clear" w:color="auto" w:fill="auto"/>
          </w:tcPr>
          <w:p w:rsidR="00B61224" w:rsidRDefault="00B61224" w:rsidP="00B61224">
            <w:r>
              <w:t>Jenny McFadden</w:t>
            </w:r>
          </w:p>
        </w:tc>
        <w:tc>
          <w:tcPr>
            <w:tcW w:w="2843" w:type="dxa"/>
            <w:shd w:val="clear" w:color="auto" w:fill="auto"/>
          </w:tcPr>
          <w:p w:rsidR="00B61224" w:rsidRDefault="00B61224" w:rsidP="00B61224">
            <w:r>
              <w:t>BLENNZ</w:t>
            </w:r>
          </w:p>
        </w:tc>
        <w:tc>
          <w:tcPr>
            <w:tcW w:w="1710" w:type="dxa"/>
            <w:shd w:val="clear" w:color="auto" w:fill="auto"/>
          </w:tcPr>
          <w:p w:rsidR="00B61224" w:rsidRDefault="00B61224" w:rsidP="00B61224">
            <w:pPr>
              <w:pStyle w:val="right"/>
            </w:pPr>
            <w:r>
              <w:t>2020</w:t>
            </w:r>
          </w:p>
        </w:tc>
      </w:tr>
      <w:tr w:rsidR="00B61224" w:rsidTr="00B61224">
        <w:tc>
          <w:tcPr>
            <w:tcW w:w="4692" w:type="dxa"/>
            <w:shd w:val="clear" w:color="auto" w:fill="auto"/>
          </w:tcPr>
          <w:p w:rsidR="00B61224" w:rsidRDefault="00B61224" w:rsidP="00B61224">
            <w:r>
              <w:t>Peter McGlinchey</w:t>
            </w:r>
          </w:p>
        </w:tc>
        <w:tc>
          <w:tcPr>
            <w:tcW w:w="2843" w:type="dxa"/>
            <w:shd w:val="clear" w:color="auto" w:fill="auto"/>
          </w:tcPr>
          <w:p w:rsidR="00B61224" w:rsidRDefault="00B61224" w:rsidP="00B61224">
            <w:r>
              <w:t>Blind Foundation</w:t>
            </w:r>
          </w:p>
        </w:tc>
        <w:tc>
          <w:tcPr>
            <w:tcW w:w="1710" w:type="dxa"/>
            <w:shd w:val="clear" w:color="auto" w:fill="auto"/>
          </w:tcPr>
          <w:p w:rsidR="00B61224" w:rsidRDefault="00B61224" w:rsidP="00B61224">
            <w:pPr>
              <w:pStyle w:val="right"/>
            </w:pPr>
            <w:r>
              <w:t>2019</w:t>
            </w:r>
          </w:p>
        </w:tc>
      </w:tr>
      <w:tr w:rsidR="00B61224" w:rsidTr="00B61224">
        <w:tc>
          <w:tcPr>
            <w:tcW w:w="4692" w:type="dxa"/>
            <w:shd w:val="clear" w:color="auto" w:fill="auto"/>
          </w:tcPr>
          <w:p w:rsidR="00B61224" w:rsidRDefault="00B61224" w:rsidP="00B61224">
            <w:r>
              <w:t>Wendy Richards</w:t>
            </w:r>
          </w:p>
        </w:tc>
        <w:tc>
          <w:tcPr>
            <w:tcW w:w="2843" w:type="dxa"/>
            <w:shd w:val="clear" w:color="auto" w:fill="auto"/>
          </w:tcPr>
          <w:p w:rsidR="00B61224" w:rsidRDefault="00B61224" w:rsidP="00B61224">
            <w:r>
              <w:t>The Seven</w:t>
            </w:r>
          </w:p>
        </w:tc>
        <w:tc>
          <w:tcPr>
            <w:tcW w:w="1710" w:type="dxa"/>
            <w:shd w:val="clear" w:color="auto" w:fill="auto"/>
          </w:tcPr>
          <w:p w:rsidR="00B61224" w:rsidRDefault="00B61224" w:rsidP="00B61224">
            <w:pPr>
              <w:pStyle w:val="right"/>
            </w:pPr>
            <w:r>
              <w:t>2020</w:t>
            </w:r>
          </w:p>
        </w:tc>
      </w:tr>
      <w:tr w:rsidR="00B61224" w:rsidTr="00B61224">
        <w:tc>
          <w:tcPr>
            <w:tcW w:w="4692" w:type="dxa"/>
            <w:shd w:val="clear" w:color="auto" w:fill="auto"/>
          </w:tcPr>
          <w:p w:rsidR="00B61224" w:rsidRDefault="00B61224" w:rsidP="00B61224">
            <w:r>
              <w:t>Mary Schnackenberg, Secretary/Treasurer</w:t>
            </w:r>
          </w:p>
        </w:tc>
        <w:tc>
          <w:tcPr>
            <w:tcW w:w="2843" w:type="dxa"/>
            <w:shd w:val="clear" w:color="auto" w:fill="auto"/>
          </w:tcPr>
          <w:p w:rsidR="00B61224" w:rsidRDefault="00B61224" w:rsidP="00B61224">
            <w:r>
              <w:t>The Seven</w:t>
            </w:r>
          </w:p>
        </w:tc>
        <w:tc>
          <w:tcPr>
            <w:tcW w:w="1710" w:type="dxa"/>
            <w:shd w:val="clear" w:color="auto" w:fill="auto"/>
          </w:tcPr>
          <w:p w:rsidR="00B61224" w:rsidRDefault="00B61224" w:rsidP="00B61224">
            <w:pPr>
              <w:pStyle w:val="right"/>
            </w:pPr>
            <w:r>
              <w:t>2020</w:t>
            </w:r>
          </w:p>
        </w:tc>
      </w:tr>
      <w:tr w:rsidR="00B61224" w:rsidTr="00B61224">
        <w:tc>
          <w:tcPr>
            <w:tcW w:w="4692" w:type="dxa"/>
            <w:shd w:val="clear" w:color="auto" w:fill="auto"/>
          </w:tcPr>
          <w:p w:rsidR="00B61224" w:rsidRDefault="00B61224" w:rsidP="00B61224">
            <w:r>
              <w:t>Maria Stevens, Chairperson</w:t>
            </w:r>
          </w:p>
        </w:tc>
        <w:tc>
          <w:tcPr>
            <w:tcW w:w="2843" w:type="dxa"/>
            <w:shd w:val="clear" w:color="auto" w:fill="auto"/>
          </w:tcPr>
          <w:p w:rsidR="00B61224" w:rsidRDefault="00B61224" w:rsidP="00B61224">
            <w:r>
              <w:t>Kāpō Māori</w:t>
            </w:r>
          </w:p>
        </w:tc>
        <w:tc>
          <w:tcPr>
            <w:tcW w:w="1710" w:type="dxa"/>
            <w:shd w:val="clear" w:color="auto" w:fill="auto"/>
          </w:tcPr>
          <w:p w:rsidR="00B61224" w:rsidRDefault="00B61224" w:rsidP="00B61224">
            <w:pPr>
              <w:pStyle w:val="right"/>
            </w:pPr>
            <w:r>
              <w:t>2022</w:t>
            </w:r>
          </w:p>
        </w:tc>
      </w:tr>
      <w:tr w:rsidR="00B61224" w:rsidTr="00B61224">
        <w:tc>
          <w:tcPr>
            <w:tcW w:w="4692" w:type="dxa"/>
            <w:shd w:val="clear" w:color="auto" w:fill="auto"/>
          </w:tcPr>
          <w:p w:rsidR="00B61224" w:rsidRDefault="00B61224" w:rsidP="00B61224">
            <w:r>
              <w:t>Natalie Stewart</w:t>
            </w:r>
          </w:p>
        </w:tc>
        <w:tc>
          <w:tcPr>
            <w:tcW w:w="2843" w:type="dxa"/>
            <w:shd w:val="clear" w:color="auto" w:fill="auto"/>
          </w:tcPr>
          <w:p w:rsidR="00B61224" w:rsidRDefault="00B61224" w:rsidP="00B61224">
            <w:r>
              <w:t>BLENNZ</w:t>
            </w:r>
          </w:p>
        </w:tc>
        <w:tc>
          <w:tcPr>
            <w:tcW w:w="1710" w:type="dxa"/>
            <w:shd w:val="clear" w:color="auto" w:fill="auto"/>
          </w:tcPr>
          <w:p w:rsidR="00B61224" w:rsidRDefault="00B61224" w:rsidP="00B61224">
            <w:pPr>
              <w:pStyle w:val="right"/>
            </w:pPr>
            <w:r>
              <w:t>2019</w:t>
            </w:r>
          </w:p>
        </w:tc>
      </w:tr>
      <w:tr w:rsidR="00B61224" w:rsidTr="00B61224">
        <w:tc>
          <w:tcPr>
            <w:tcW w:w="4692" w:type="dxa"/>
            <w:shd w:val="clear" w:color="auto" w:fill="auto"/>
          </w:tcPr>
          <w:p w:rsidR="00B61224" w:rsidRDefault="00B61224" w:rsidP="00B61224">
            <w:r>
              <w:t>Vacancy</w:t>
            </w:r>
          </w:p>
        </w:tc>
        <w:tc>
          <w:tcPr>
            <w:tcW w:w="2843" w:type="dxa"/>
            <w:shd w:val="clear" w:color="auto" w:fill="auto"/>
          </w:tcPr>
          <w:p w:rsidR="00B61224" w:rsidRDefault="00B61224" w:rsidP="00B61224">
            <w:r>
              <w:t>Parents of Vision Impaired</w:t>
            </w:r>
          </w:p>
        </w:tc>
        <w:tc>
          <w:tcPr>
            <w:tcW w:w="1710" w:type="dxa"/>
            <w:shd w:val="clear" w:color="auto" w:fill="auto"/>
          </w:tcPr>
          <w:p w:rsidR="00B61224" w:rsidRDefault="00B61224" w:rsidP="00B61224">
            <w:pPr>
              <w:pStyle w:val="right"/>
            </w:pPr>
            <w:r>
              <w:t>2021</w:t>
            </w:r>
          </w:p>
        </w:tc>
      </w:tr>
    </w:tbl>
    <w:p w:rsidR="00B61224" w:rsidRDefault="00B61224" w:rsidP="00B61224">
      <w:pPr>
        <w:pStyle w:val="HeadingBlank"/>
      </w:pPr>
    </w:p>
    <w:p w:rsidR="00B61224" w:rsidRDefault="00B61224" w:rsidP="00B61224">
      <w:r>
        <w:t>Natalie Stewart, appointed by BLENNZ, is stepping down at the September AGM. Her new role and commitments at BLENNZ do not give her enough time to give to BANZAT's work. We are especially grateful for Natalie's support for the past three years. Apart from bringing a teacher's perspective to our decisions, she is one of our bank signatories, providing careful financial stewardship to our work as well.</w:t>
      </w:r>
    </w:p>
    <w:p w:rsidR="00B61224" w:rsidRDefault="00B61224" w:rsidP="00B61224"/>
    <w:p w:rsidR="00B61224" w:rsidRDefault="00B61224" w:rsidP="00B61224">
      <w:r>
        <w:t>Peter McGlinchey, appointed by the Blind Foundation, is stepping down at the 2019 Annual General Meeting. We thank him warmly for his two years of service. He is succeeded by David Smith, an experienced braille producer in the Blind Foundation Accessible Formats Service.</w:t>
      </w:r>
    </w:p>
    <w:p w:rsidR="00B61224" w:rsidRDefault="00B61224" w:rsidP="00B61224"/>
    <w:p w:rsidR="00B61224" w:rsidRDefault="00B61224" w:rsidP="00B61224">
      <w:r>
        <w:t>Maria Stevens, who was appointed to the trust by Kāpō Māori in 2010 has been reappointed and her term will conclude in 2022. BANZAT has appointed Maria as its representative on the Executive Committee of the International Council on English Braille (ICEB) for the 2020-2024 term.</w:t>
      </w:r>
    </w:p>
    <w:p w:rsidR="00B61224" w:rsidRDefault="00B61224" w:rsidP="00B61224"/>
    <w:p w:rsidR="00B61224" w:rsidRDefault="00B61224" w:rsidP="00B61224">
      <w:r>
        <w:t>The trustee appointed by Parents of Vision Impaired has not been replaced since the resignation of their appointee, Rose Radford, in March 2014.</w:t>
      </w:r>
    </w:p>
    <w:p w:rsidR="00B61224" w:rsidRDefault="00B61224" w:rsidP="00B61224"/>
    <w:p w:rsidR="00B61224" w:rsidRDefault="00B61224" w:rsidP="00B61224">
      <w:pPr>
        <w:pStyle w:val="Heading3"/>
      </w:pPr>
      <w:r>
        <w:lastRenderedPageBreak/>
        <w:t>Main Source of Funding</w:t>
      </w:r>
    </w:p>
    <w:p w:rsidR="00B61224" w:rsidRDefault="00B61224" w:rsidP="00B61224">
      <w:pPr>
        <w:pStyle w:val="HeadingBlank"/>
      </w:pPr>
    </w:p>
    <w:p w:rsidR="00B61224" w:rsidRDefault="00B61224" w:rsidP="00B61224">
      <w:r>
        <w:t>The Royal New Zealand Foundation of the Blind (Blind Foundation) is the primary funder of the activities of BANZAT.</w:t>
      </w:r>
    </w:p>
    <w:p w:rsidR="00B61224" w:rsidRDefault="00B61224" w:rsidP="00B61224"/>
    <w:p w:rsidR="00B61224" w:rsidRDefault="00B61224" w:rsidP="00B61224">
      <w:pPr>
        <w:pStyle w:val="Heading3"/>
      </w:pPr>
      <w:r>
        <w:t>Reliance on Volunteers and Donated Services</w:t>
      </w:r>
    </w:p>
    <w:p w:rsidR="00B61224" w:rsidRDefault="00B61224" w:rsidP="00B61224">
      <w:pPr>
        <w:pStyle w:val="HeadingBlank"/>
      </w:pPr>
    </w:p>
    <w:p w:rsidR="00B61224" w:rsidRDefault="00B61224" w:rsidP="00B61224">
      <w:r>
        <w:t>BANZAT relies heavily on its trustees to volunteer their time to assist BANZAT to progress its work. With the exception of the one trustee mentioned above, trustees are volunteers – they do not receive any financial recompense, such as meeting fees. In addition, some staff from the Blind Foundation and BLENNZ contribute their time to the technical code and format work of BANZAT, without receiving any financial recompense from BANZAT.</w:t>
      </w:r>
    </w:p>
    <w:p w:rsidR="00B61224" w:rsidRDefault="00B61224" w:rsidP="00B61224"/>
    <w:p w:rsidR="00B61224" w:rsidRDefault="00B61224" w:rsidP="00B61224">
      <w:r>
        <w:t>Trustees contribute to BANZAT activity outputs such as the technical code and format work of the Code Maintenance Committee, providing content for the New Zealand Braillists' Discussions email list, social media, drafting submissions and awareness raising about literacy through braille.</w:t>
      </w:r>
    </w:p>
    <w:p w:rsidR="00B61224" w:rsidRDefault="00B61224" w:rsidP="00B61224"/>
    <w:p w:rsidR="00B61224" w:rsidRDefault="00B61224" w:rsidP="00B61224">
      <w:r>
        <w:t>A request for funding to pay meeting fees has been raised in BANZAT's request for an increase in its annual grant.</w:t>
      </w:r>
    </w:p>
    <w:p w:rsidR="00B61224" w:rsidRDefault="00B61224" w:rsidP="00B61224"/>
    <w:tbl>
      <w:tblPr>
        <w:tblStyle w:val="TableGrid"/>
        <w:tblW w:w="0" w:type="auto"/>
        <w:tblBorders>
          <w:insideH w:val="none" w:sz="0" w:space="0" w:color="auto"/>
        </w:tblBorders>
        <w:tblLayout w:type="fixed"/>
        <w:tblCellMar>
          <w:top w:w="60" w:type="dxa"/>
          <w:left w:w="60" w:type="dxa"/>
          <w:bottom w:w="60" w:type="dxa"/>
          <w:right w:w="60" w:type="dxa"/>
        </w:tblCellMar>
        <w:tblLook w:val="0600"/>
      </w:tblPr>
      <w:tblGrid>
        <w:gridCol w:w="5823"/>
        <w:gridCol w:w="1711"/>
        <w:gridCol w:w="1711"/>
      </w:tblGrid>
      <w:tr w:rsidR="00B61224" w:rsidTr="00B61224">
        <w:tc>
          <w:tcPr>
            <w:tcW w:w="5823" w:type="dxa"/>
            <w:shd w:val="clear" w:color="auto" w:fill="auto"/>
          </w:tcPr>
          <w:p w:rsidR="00B61224" w:rsidRDefault="00B61224" w:rsidP="00B61224">
            <w:r>
              <w:t>Item</w:t>
            </w:r>
          </w:p>
        </w:tc>
        <w:tc>
          <w:tcPr>
            <w:tcW w:w="1711" w:type="dxa"/>
            <w:shd w:val="clear" w:color="auto" w:fill="auto"/>
          </w:tcPr>
          <w:p w:rsidR="00B61224" w:rsidRDefault="00B61224" w:rsidP="00B61224">
            <w:pPr>
              <w:pStyle w:val="right"/>
            </w:pPr>
            <w:r>
              <w:t>2019</w:t>
            </w:r>
          </w:p>
        </w:tc>
        <w:tc>
          <w:tcPr>
            <w:tcW w:w="1711" w:type="dxa"/>
            <w:shd w:val="clear" w:color="auto" w:fill="auto"/>
          </w:tcPr>
          <w:p w:rsidR="00B61224" w:rsidRDefault="00B61224" w:rsidP="00B61224">
            <w:pPr>
              <w:pStyle w:val="right"/>
            </w:pPr>
            <w:r>
              <w:t>2018</w:t>
            </w:r>
          </w:p>
        </w:tc>
      </w:tr>
      <w:tr w:rsidR="00B61224" w:rsidTr="00B61224">
        <w:tc>
          <w:tcPr>
            <w:tcW w:w="5823" w:type="dxa"/>
            <w:shd w:val="clear" w:color="auto" w:fill="auto"/>
          </w:tcPr>
          <w:p w:rsidR="00B61224" w:rsidRPr="00B61224" w:rsidRDefault="00B61224" w:rsidP="00B61224">
            <w:r>
              <w:rPr>
                <w:b/>
              </w:rPr>
              <w:t>Paid work (average week)</w:t>
            </w:r>
          </w:p>
        </w:tc>
        <w:tc>
          <w:tcPr>
            <w:tcW w:w="1711" w:type="dxa"/>
            <w:shd w:val="clear" w:color="auto" w:fill="auto"/>
          </w:tcPr>
          <w:p w:rsidR="00B61224" w:rsidRDefault="00B61224" w:rsidP="00B61224">
            <w:pPr>
              <w:pStyle w:val="right"/>
            </w:pPr>
          </w:p>
        </w:tc>
        <w:tc>
          <w:tcPr>
            <w:tcW w:w="1711" w:type="dxa"/>
            <w:shd w:val="clear" w:color="auto" w:fill="auto"/>
          </w:tcPr>
          <w:p w:rsidR="00B61224" w:rsidRDefault="00B61224" w:rsidP="00B61224">
            <w:pPr>
              <w:pStyle w:val="right"/>
            </w:pPr>
          </w:p>
        </w:tc>
      </w:tr>
      <w:tr w:rsidR="00B61224" w:rsidTr="00B61224">
        <w:tc>
          <w:tcPr>
            <w:tcW w:w="5823" w:type="dxa"/>
            <w:shd w:val="clear" w:color="auto" w:fill="auto"/>
          </w:tcPr>
          <w:p w:rsidR="00B61224" w:rsidRDefault="00B61224" w:rsidP="00B61224">
            <w:r>
              <w:t>People employed full time</w:t>
            </w:r>
          </w:p>
        </w:tc>
        <w:tc>
          <w:tcPr>
            <w:tcW w:w="1711" w:type="dxa"/>
            <w:shd w:val="clear" w:color="auto" w:fill="auto"/>
          </w:tcPr>
          <w:p w:rsidR="00B61224" w:rsidRDefault="00B61224" w:rsidP="00B61224">
            <w:pPr>
              <w:pStyle w:val="right"/>
            </w:pPr>
            <w:r>
              <w:t>0</w:t>
            </w:r>
          </w:p>
        </w:tc>
        <w:tc>
          <w:tcPr>
            <w:tcW w:w="1711" w:type="dxa"/>
            <w:shd w:val="clear" w:color="auto" w:fill="auto"/>
          </w:tcPr>
          <w:p w:rsidR="00B61224" w:rsidRDefault="00B61224" w:rsidP="00B61224">
            <w:pPr>
              <w:pStyle w:val="right"/>
            </w:pPr>
            <w:r>
              <w:t>0</w:t>
            </w:r>
          </w:p>
        </w:tc>
      </w:tr>
      <w:tr w:rsidR="00B61224" w:rsidTr="00B61224">
        <w:tc>
          <w:tcPr>
            <w:tcW w:w="5823" w:type="dxa"/>
            <w:shd w:val="clear" w:color="auto" w:fill="auto"/>
          </w:tcPr>
          <w:p w:rsidR="00B61224" w:rsidRDefault="00B61224" w:rsidP="00B61224">
            <w:r>
              <w:t>People employed part time</w:t>
            </w:r>
          </w:p>
        </w:tc>
        <w:tc>
          <w:tcPr>
            <w:tcW w:w="1711" w:type="dxa"/>
            <w:shd w:val="clear" w:color="auto" w:fill="auto"/>
          </w:tcPr>
          <w:p w:rsidR="00B61224" w:rsidRDefault="00B61224" w:rsidP="00B61224">
            <w:pPr>
              <w:pStyle w:val="right"/>
            </w:pPr>
            <w:r>
              <w:t>1</w:t>
            </w:r>
          </w:p>
        </w:tc>
        <w:tc>
          <w:tcPr>
            <w:tcW w:w="1711" w:type="dxa"/>
            <w:shd w:val="clear" w:color="auto" w:fill="auto"/>
          </w:tcPr>
          <w:p w:rsidR="00B61224" w:rsidRDefault="00B61224" w:rsidP="00B61224">
            <w:pPr>
              <w:pStyle w:val="right"/>
            </w:pPr>
            <w:r>
              <w:t>1</w:t>
            </w:r>
          </w:p>
        </w:tc>
      </w:tr>
      <w:tr w:rsidR="00B61224" w:rsidTr="00B61224">
        <w:tc>
          <w:tcPr>
            <w:tcW w:w="5823" w:type="dxa"/>
            <w:shd w:val="clear" w:color="auto" w:fill="auto"/>
          </w:tcPr>
          <w:p w:rsidR="00B61224" w:rsidRDefault="00B61224" w:rsidP="00B61224">
            <w:r>
              <w:t>Average paid hours per week</w:t>
            </w:r>
          </w:p>
        </w:tc>
        <w:tc>
          <w:tcPr>
            <w:tcW w:w="1711" w:type="dxa"/>
            <w:shd w:val="clear" w:color="auto" w:fill="auto"/>
          </w:tcPr>
          <w:p w:rsidR="00B61224" w:rsidRDefault="00B61224" w:rsidP="00B61224">
            <w:pPr>
              <w:pStyle w:val="right"/>
            </w:pPr>
            <w:r>
              <w:t>1</w:t>
            </w:r>
          </w:p>
        </w:tc>
        <w:tc>
          <w:tcPr>
            <w:tcW w:w="1711" w:type="dxa"/>
            <w:shd w:val="clear" w:color="auto" w:fill="auto"/>
          </w:tcPr>
          <w:p w:rsidR="00B61224" w:rsidRDefault="00B61224" w:rsidP="00B61224">
            <w:pPr>
              <w:pStyle w:val="right"/>
            </w:pPr>
            <w:r>
              <w:t>1</w:t>
            </w:r>
          </w:p>
        </w:tc>
      </w:tr>
      <w:tr w:rsidR="00B61224" w:rsidTr="00B61224">
        <w:tc>
          <w:tcPr>
            <w:tcW w:w="5823" w:type="dxa"/>
            <w:shd w:val="clear" w:color="auto" w:fill="auto"/>
          </w:tcPr>
          <w:p w:rsidR="00B61224" w:rsidRPr="00B61224" w:rsidRDefault="00B61224" w:rsidP="00B61224">
            <w:r>
              <w:rPr>
                <w:b/>
              </w:rPr>
              <w:t>Volunteer work (average week)</w:t>
            </w:r>
          </w:p>
        </w:tc>
        <w:tc>
          <w:tcPr>
            <w:tcW w:w="1711" w:type="dxa"/>
            <w:shd w:val="clear" w:color="auto" w:fill="auto"/>
          </w:tcPr>
          <w:p w:rsidR="00B61224" w:rsidRDefault="00B61224" w:rsidP="00B61224">
            <w:pPr>
              <w:pStyle w:val="right"/>
            </w:pPr>
          </w:p>
        </w:tc>
        <w:tc>
          <w:tcPr>
            <w:tcW w:w="1711" w:type="dxa"/>
            <w:shd w:val="clear" w:color="auto" w:fill="auto"/>
          </w:tcPr>
          <w:p w:rsidR="00B61224" w:rsidRDefault="00B61224" w:rsidP="00B61224">
            <w:pPr>
              <w:pStyle w:val="right"/>
            </w:pPr>
          </w:p>
        </w:tc>
      </w:tr>
      <w:tr w:rsidR="00B61224" w:rsidTr="00B61224">
        <w:tc>
          <w:tcPr>
            <w:tcW w:w="5823" w:type="dxa"/>
            <w:shd w:val="clear" w:color="auto" w:fill="auto"/>
          </w:tcPr>
          <w:p w:rsidR="00B61224" w:rsidRDefault="00B61224" w:rsidP="00B61224">
            <w:r>
              <w:t>Number of volunteers</w:t>
            </w:r>
          </w:p>
        </w:tc>
        <w:tc>
          <w:tcPr>
            <w:tcW w:w="1711" w:type="dxa"/>
            <w:shd w:val="clear" w:color="auto" w:fill="auto"/>
          </w:tcPr>
          <w:p w:rsidR="00B61224" w:rsidRDefault="00B61224" w:rsidP="00B61224">
            <w:pPr>
              <w:pStyle w:val="right"/>
            </w:pPr>
            <w:r>
              <w:t>15</w:t>
            </w:r>
          </w:p>
        </w:tc>
        <w:tc>
          <w:tcPr>
            <w:tcW w:w="1711" w:type="dxa"/>
            <w:shd w:val="clear" w:color="auto" w:fill="auto"/>
          </w:tcPr>
          <w:p w:rsidR="00B61224" w:rsidRDefault="00B61224" w:rsidP="00B61224">
            <w:pPr>
              <w:pStyle w:val="right"/>
            </w:pPr>
            <w:r>
              <w:t>9</w:t>
            </w:r>
          </w:p>
        </w:tc>
      </w:tr>
      <w:tr w:rsidR="00B61224" w:rsidTr="00B61224">
        <w:tc>
          <w:tcPr>
            <w:tcW w:w="5823" w:type="dxa"/>
            <w:shd w:val="clear" w:color="auto" w:fill="auto"/>
          </w:tcPr>
          <w:p w:rsidR="00B61224" w:rsidRDefault="00B61224" w:rsidP="00B61224">
            <w:r>
              <w:t>Hours per week</w:t>
            </w:r>
          </w:p>
        </w:tc>
        <w:tc>
          <w:tcPr>
            <w:tcW w:w="1711" w:type="dxa"/>
            <w:shd w:val="clear" w:color="auto" w:fill="auto"/>
          </w:tcPr>
          <w:p w:rsidR="00B61224" w:rsidRDefault="00B61224" w:rsidP="00B61224">
            <w:pPr>
              <w:pStyle w:val="right"/>
            </w:pPr>
            <w:r>
              <w:t>5</w:t>
            </w:r>
          </w:p>
        </w:tc>
        <w:tc>
          <w:tcPr>
            <w:tcW w:w="1711" w:type="dxa"/>
            <w:shd w:val="clear" w:color="auto" w:fill="auto"/>
          </w:tcPr>
          <w:p w:rsidR="00B61224" w:rsidRDefault="00B61224" w:rsidP="00B61224">
            <w:pPr>
              <w:pStyle w:val="right"/>
            </w:pPr>
            <w:r>
              <w:t>3</w:t>
            </w:r>
          </w:p>
        </w:tc>
      </w:tr>
    </w:tbl>
    <w:p w:rsidR="00B61224" w:rsidRDefault="00B61224" w:rsidP="00B61224"/>
    <w:p w:rsidR="00B61224" w:rsidRDefault="00B61224" w:rsidP="00B61224">
      <w:pPr>
        <w:pStyle w:val="Heading3"/>
      </w:pPr>
      <w:r>
        <w:t>Contact Details</w:t>
      </w:r>
    </w:p>
    <w:p w:rsidR="00B61224" w:rsidRDefault="00B61224" w:rsidP="00B61224">
      <w:pPr>
        <w:pStyle w:val="HeadingBlank"/>
      </w:pPr>
    </w:p>
    <w:p w:rsidR="00B61224" w:rsidRDefault="00B61224" w:rsidP="00B61224">
      <w:pPr>
        <w:pStyle w:val="l1"/>
      </w:pPr>
      <w:r>
        <w:t>Registered office:</w:t>
      </w:r>
    </w:p>
    <w:p w:rsidR="00B61224" w:rsidRDefault="00B61224" w:rsidP="00B61224">
      <w:pPr>
        <w:pStyle w:val="l2"/>
      </w:pPr>
      <w:r>
        <w:t>Royal New Zealand Foundation of the Blind</w:t>
      </w:r>
    </w:p>
    <w:p w:rsidR="00B61224" w:rsidRDefault="00B61224" w:rsidP="00B61224">
      <w:pPr>
        <w:pStyle w:val="l2"/>
      </w:pPr>
      <w:r>
        <w:t>Physical Address: 4 Maunsell Road, Parnell, Auckland 1052.</w:t>
      </w:r>
    </w:p>
    <w:p w:rsidR="00B61224" w:rsidRDefault="00B61224" w:rsidP="00B61224">
      <w:pPr>
        <w:pStyle w:val="l2"/>
      </w:pPr>
      <w:r>
        <w:t>Postal Address: Private Bag 99941, Newmarket, Auckland 1149</w:t>
      </w:r>
    </w:p>
    <w:p w:rsidR="00B61224" w:rsidRDefault="00B61224" w:rsidP="00B61224">
      <w:pPr>
        <w:pStyle w:val="l1"/>
      </w:pPr>
      <w:r>
        <w:t>Phone: 09-520-4242</w:t>
      </w:r>
    </w:p>
    <w:p w:rsidR="00B61224" w:rsidRDefault="00B61224" w:rsidP="00B61224">
      <w:pPr>
        <w:pStyle w:val="l1"/>
      </w:pPr>
      <w:r>
        <w:t xml:space="preserve">Email: </w:t>
      </w:r>
      <w:hyperlink r:id="rId10" w:history="1">
        <w:r>
          <w:rPr>
            <w:rStyle w:val="Hyperlink"/>
          </w:rPr>
          <w:t>secretary@banzat.org.nz</w:t>
        </w:r>
      </w:hyperlink>
    </w:p>
    <w:p w:rsidR="00B61224" w:rsidRDefault="00B61224" w:rsidP="00B61224">
      <w:pPr>
        <w:pStyle w:val="l1"/>
      </w:pPr>
      <w:r>
        <w:t xml:space="preserve">Website: </w:t>
      </w:r>
      <w:hyperlink r:id="rId11" w:history="1">
        <w:r>
          <w:rPr>
            <w:rStyle w:val="Hyperlink"/>
          </w:rPr>
          <w:t>www.banzat.org.nz</w:t>
        </w:r>
      </w:hyperlink>
    </w:p>
    <w:p w:rsidR="00B61224" w:rsidRDefault="00B61224" w:rsidP="00B61224">
      <w:pPr>
        <w:pStyle w:val="l1"/>
      </w:pPr>
      <w:r>
        <w:t xml:space="preserve">Facebook: </w:t>
      </w:r>
      <w:hyperlink r:id="rId12" w:history="1">
        <w:r>
          <w:rPr>
            <w:rStyle w:val="Hyperlink"/>
          </w:rPr>
          <w:t>https://www.facebook.com/banzatnz/</w:t>
        </w:r>
      </w:hyperlink>
    </w:p>
    <w:p w:rsidR="00B61224" w:rsidRDefault="00B61224" w:rsidP="00B61224">
      <w:pPr>
        <w:pStyle w:val="l1"/>
      </w:pPr>
      <w:r>
        <w:t xml:space="preserve">Twitter: </w:t>
      </w:r>
      <w:hyperlink r:id="rId13" w:history="1">
        <w:r>
          <w:rPr>
            <w:rStyle w:val="Hyperlink"/>
          </w:rPr>
          <w:t>http://twitter.com/BANZATBRAILLE</w:t>
        </w:r>
      </w:hyperlink>
    </w:p>
    <w:p w:rsidR="00B61224" w:rsidRDefault="00B61224" w:rsidP="00B61224">
      <w:pPr>
        <w:pStyle w:val="l1"/>
        <w:sectPr w:rsidR="00B61224" w:rsidSect="00B61224">
          <w:pgSz w:w="11909" w:h="16834" w:code="9"/>
          <w:pgMar w:top="720" w:right="1440" w:bottom="720" w:left="1440" w:header="720" w:footer="720" w:gutter="0"/>
          <w:cols w:space="720"/>
          <w:docGrid w:linePitch="360"/>
        </w:sectPr>
      </w:pPr>
    </w:p>
    <w:p w:rsidR="00B61224" w:rsidRDefault="00B61224" w:rsidP="00B61224">
      <w:pPr>
        <w:pStyle w:val="Title"/>
      </w:pPr>
      <w:r>
        <w:lastRenderedPageBreak/>
        <w:t>The Braille Authority of New Zealand</w:t>
      </w:r>
    </w:p>
    <w:p w:rsidR="00B61224" w:rsidRDefault="00B61224" w:rsidP="00B61224">
      <w:pPr>
        <w:pStyle w:val="Title"/>
      </w:pPr>
      <w:r>
        <w:t>Aotearoa Trust (BANZAT)</w:t>
      </w:r>
    </w:p>
    <w:p w:rsidR="00B61224" w:rsidRDefault="00B61224" w:rsidP="00B61224">
      <w:pPr>
        <w:pStyle w:val="HeadingBlank"/>
      </w:pPr>
    </w:p>
    <w:p w:rsidR="00B61224" w:rsidRDefault="00B61224" w:rsidP="00B61224">
      <w:pPr>
        <w:pStyle w:val="Heading2"/>
      </w:pPr>
      <w:bookmarkStart w:id="2" w:name="_Toc18497718"/>
      <w:r>
        <w:t>Statement of Service Performance</w:t>
      </w:r>
      <w:bookmarkEnd w:id="2"/>
    </w:p>
    <w:p w:rsidR="00B61224" w:rsidRDefault="00B61224" w:rsidP="00B61224">
      <w:pPr>
        <w:pStyle w:val="HeadingBlank"/>
      </w:pPr>
    </w:p>
    <w:p w:rsidR="00B61224" w:rsidRDefault="00B61224" w:rsidP="00B61224">
      <w:r>
        <w:rPr>
          <w:b/>
        </w:rPr>
        <w:t>for the Year Ended 30 June 2019</w:t>
      </w:r>
    </w:p>
    <w:p w:rsidR="00B61224" w:rsidRDefault="00B61224" w:rsidP="00B61224"/>
    <w:p w:rsidR="00B61224" w:rsidRDefault="00B61224" w:rsidP="00B61224">
      <w:pPr>
        <w:pStyle w:val="Heading3"/>
      </w:pPr>
      <w:r>
        <w:t>Description of Outcomes</w:t>
      </w:r>
    </w:p>
    <w:p w:rsidR="00B61224" w:rsidRDefault="00B61224" w:rsidP="00B61224">
      <w:pPr>
        <w:pStyle w:val="HeadingBlank"/>
      </w:pPr>
    </w:p>
    <w:p w:rsidR="00B61224" w:rsidRDefault="00B61224" w:rsidP="00B61224">
      <w:r>
        <w:t>BANZAT works for the benefit of blind and low vision people in New Zealand to heighten awareness of literacy through braille and equitable access to information through its provision in braille.</w:t>
      </w:r>
    </w:p>
    <w:p w:rsidR="00B61224" w:rsidRDefault="00B61224" w:rsidP="00B61224"/>
    <w:p w:rsidR="00B61224" w:rsidRDefault="00B61224" w:rsidP="00B61224">
      <w:r>
        <w:t>Here BANZAT reports against the five strands of its purpose as stated in its Trust Deed.</w:t>
      </w:r>
    </w:p>
    <w:p w:rsidR="00B61224" w:rsidRDefault="00B61224" w:rsidP="00B61224"/>
    <w:p w:rsidR="00B61224" w:rsidRDefault="00B61224" w:rsidP="00B61224">
      <w:pPr>
        <w:pStyle w:val="Heading4"/>
      </w:pPr>
      <w:r>
        <w:t>(a) To set standards and to make rulings on braille code usage within New Zealand</w:t>
      </w:r>
    </w:p>
    <w:p w:rsidR="00B61224" w:rsidRDefault="00B61224" w:rsidP="00B61224">
      <w:pPr>
        <w:pStyle w:val="HeadingBlank"/>
      </w:pPr>
    </w:p>
    <w:p w:rsidR="00B61224" w:rsidRDefault="00B61224" w:rsidP="00B61224">
      <w:pPr>
        <w:pStyle w:val="lb1"/>
      </w:pPr>
      <w:r>
        <w:t>• BANZAT's Code Maintenance Committee considers and usually adopts in New Zealand any amendments or additions to Unified English Braille (UEB) adopted by the International Council on English Braille (ICEB). The committee meets face to face or by teleconference and between meetings continues its discussions by email.</w:t>
      </w:r>
    </w:p>
    <w:p w:rsidR="00B61224" w:rsidRDefault="00B61224" w:rsidP="00B61224">
      <w:pPr>
        <w:pStyle w:val="lb1"/>
      </w:pPr>
      <w:r>
        <w:t>• The Code Maintenance Committee is involved in the revision of the Guidelines for Technical Material which deals with mathematics and science symbols used in UEB.</w:t>
      </w:r>
    </w:p>
    <w:p w:rsidR="00B61224" w:rsidRDefault="00B61224" w:rsidP="00B61224">
      <w:pPr>
        <w:pStyle w:val="lb1"/>
      </w:pPr>
      <w:r>
        <w:t>• BANZAT trustees and New Zealand transcribers are active contributors to discussions in ICEB about possible amendments/additions to the International Braille Music Code.</w:t>
      </w:r>
    </w:p>
    <w:p w:rsidR="00B61224" w:rsidRDefault="00B61224" w:rsidP="00B61224">
      <w:pPr>
        <w:pStyle w:val="lb1"/>
      </w:pPr>
    </w:p>
    <w:tbl>
      <w:tblPr>
        <w:tblStyle w:val="TableGrid"/>
        <w:tblW w:w="0" w:type="auto"/>
        <w:tblBorders>
          <w:insideH w:val="none" w:sz="0" w:space="0" w:color="auto"/>
        </w:tblBorders>
        <w:tblLayout w:type="fixed"/>
        <w:tblCellMar>
          <w:top w:w="60" w:type="dxa"/>
          <w:left w:w="60" w:type="dxa"/>
          <w:bottom w:w="60" w:type="dxa"/>
          <w:right w:w="60" w:type="dxa"/>
        </w:tblCellMar>
        <w:tblLook w:val="0600"/>
      </w:tblPr>
      <w:tblGrid>
        <w:gridCol w:w="5825"/>
        <w:gridCol w:w="1710"/>
        <w:gridCol w:w="1710"/>
      </w:tblGrid>
      <w:tr w:rsidR="00B61224" w:rsidTr="00B61224">
        <w:tc>
          <w:tcPr>
            <w:tcW w:w="5825" w:type="dxa"/>
            <w:shd w:val="clear" w:color="auto" w:fill="auto"/>
          </w:tcPr>
          <w:p w:rsidR="00B61224" w:rsidRDefault="00B61224" w:rsidP="00B61224">
            <w:r>
              <w:t>Item</w:t>
            </w:r>
          </w:p>
        </w:tc>
        <w:tc>
          <w:tcPr>
            <w:tcW w:w="1710" w:type="dxa"/>
            <w:shd w:val="clear" w:color="auto" w:fill="auto"/>
          </w:tcPr>
          <w:p w:rsidR="00B61224" w:rsidRDefault="00B61224" w:rsidP="00B61224">
            <w:pPr>
              <w:pStyle w:val="right"/>
            </w:pPr>
            <w:r>
              <w:t>2019</w:t>
            </w:r>
          </w:p>
        </w:tc>
        <w:tc>
          <w:tcPr>
            <w:tcW w:w="1710" w:type="dxa"/>
            <w:shd w:val="clear" w:color="auto" w:fill="auto"/>
          </w:tcPr>
          <w:p w:rsidR="00B61224" w:rsidRDefault="00B61224" w:rsidP="00B61224">
            <w:pPr>
              <w:pStyle w:val="right"/>
            </w:pPr>
            <w:r>
              <w:t>2018</w:t>
            </w:r>
          </w:p>
        </w:tc>
      </w:tr>
      <w:tr w:rsidR="00B61224" w:rsidTr="00B61224">
        <w:tc>
          <w:tcPr>
            <w:tcW w:w="5825" w:type="dxa"/>
            <w:shd w:val="clear" w:color="auto" w:fill="auto"/>
          </w:tcPr>
          <w:p w:rsidR="00B61224" w:rsidRDefault="00B61224" w:rsidP="00B61224">
            <w:r>
              <w:t>Meetings of BANZAT Code Maintenance Committee</w:t>
            </w:r>
          </w:p>
        </w:tc>
        <w:tc>
          <w:tcPr>
            <w:tcW w:w="1710" w:type="dxa"/>
            <w:shd w:val="clear" w:color="auto" w:fill="auto"/>
          </w:tcPr>
          <w:p w:rsidR="00B61224" w:rsidRDefault="00B61224" w:rsidP="00B61224">
            <w:pPr>
              <w:pStyle w:val="right"/>
            </w:pPr>
            <w:r>
              <w:t>1</w:t>
            </w:r>
          </w:p>
        </w:tc>
        <w:tc>
          <w:tcPr>
            <w:tcW w:w="1710" w:type="dxa"/>
            <w:shd w:val="clear" w:color="auto" w:fill="auto"/>
          </w:tcPr>
          <w:p w:rsidR="00B61224" w:rsidRDefault="00B61224" w:rsidP="00B61224">
            <w:pPr>
              <w:pStyle w:val="right"/>
            </w:pPr>
            <w:r>
              <w:t>1</w:t>
            </w:r>
          </w:p>
        </w:tc>
      </w:tr>
    </w:tbl>
    <w:p w:rsidR="00B61224" w:rsidRDefault="00B61224" w:rsidP="00B61224">
      <w:pPr>
        <w:pStyle w:val="lb1"/>
      </w:pPr>
    </w:p>
    <w:p w:rsidR="00B61224" w:rsidRDefault="00B61224" w:rsidP="00B61224">
      <w:pPr>
        <w:pStyle w:val="Heading4"/>
      </w:pPr>
      <w:r>
        <w:t>(b) To maintain awareness of, and consistency with, current international developments in all braille codes</w:t>
      </w:r>
    </w:p>
    <w:p w:rsidR="00B61224" w:rsidRDefault="00B61224" w:rsidP="00B61224">
      <w:pPr>
        <w:pStyle w:val="HeadingBlank"/>
      </w:pPr>
    </w:p>
    <w:p w:rsidR="00B61224" w:rsidRDefault="00B61224" w:rsidP="00B61224">
      <w:pPr>
        <w:pStyle w:val="lb1"/>
      </w:pPr>
      <w:r>
        <w:t>• BANZAT is represented on the Executive Committee of the International Council on English Braille (ICEB) by Maria Stevens who participates in email discussions and quarterly teleconferences. She reports developments to BANZAT meetings and by email.</w:t>
      </w:r>
    </w:p>
    <w:p w:rsidR="00B61224" w:rsidRDefault="00B61224" w:rsidP="00B61224">
      <w:pPr>
        <w:pStyle w:val="lb1"/>
      </w:pPr>
      <w:r>
        <w:t>• Trustees serve on committees of ICEB contributing to email discussions and reporting decisions to BANZAT.</w:t>
      </w:r>
    </w:p>
    <w:p w:rsidR="00B61224" w:rsidRDefault="00B61224" w:rsidP="00B61224">
      <w:pPr>
        <w:pStyle w:val="lb1"/>
      </w:pPr>
      <w:r>
        <w:t>• BANZAT has been represented at the general assemblies of ICEB which occur once every four years and the meetings of the ICEB Executive Committee which also occur once every four years mid-term between the general assemblies.</w:t>
      </w:r>
    </w:p>
    <w:p w:rsidR="00B61224" w:rsidRDefault="00B61224" w:rsidP="00B61224">
      <w:pPr>
        <w:pStyle w:val="lb1"/>
      </w:pPr>
      <w:r>
        <w:t>• Funding for BANZAT's delegate to attend ICEB meetings must be applied for prior to each meeting and receipt of funding is not guaranteed. This risk to BANZAT's full participation in ICEB work and maintenance of international standards has been raised in BANZAT's request for an increase in its annual grant.</w:t>
      </w:r>
    </w:p>
    <w:p w:rsidR="00B61224" w:rsidRDefault="00B61224" w:rsidP="00B61224">
      <w:pPr>
        <w:pStyle w:val="lb1"/>
      </w:pPr>
    </w:p>
    <w:p w:rsidR="00B61224" w:rsidRDefault="00B61224" w:rsidP="00B61224">
      <w:pPr>
        <w:pStyle w:val="Heading4"/>
      </w:pPr>
      <w:r>
        <w:lastRenderedPageBreak/>
        <w:t>(c) To accredit practitioners involved in braille production</w:t>
      </w:r>
    </w:p>
    <w:p w:rsidR="00B61224" w:rsidRDefault="00B61224" w:rsidP="00B61224">
      <w:pPr>
        <w:pStyle w:val="HeadingBlank"/>
      </w:pPr>
    </w:p>
    <w:p w:rsidR="00B61224" w:rsidRDefault="00B61224" w:rsidP="00B61224">
      <w:pPr>
        <w:pStyle w:val="lb1"/>
      </w:pPr>
      <w:r>
        <w:t>• BANZAT and the Australian Braille Authority (ABA) jointly administer the Trans-Tasman Certificate of Proficiency in Unified English Braille. An examination is held each year in October. BANZAT and the ABA each sets the paper in alternate years according to agreed examination guidelines.</w:t>
      </w:r>
    </w:p>
    <w:p w:rsidR="00B61224" w:rsidRDefault="00B61224" w:rsidP="00B61224">
      <w:pPr>
        <w:pStyle w:val="lb1"/>
      </w:pPr>
      <w:r>
        <w:t>• Candidates for the examination are drawn from teachers studying to become resource teachers vision, developmental orientation and mobility instructors, classroom teacher aides supporting braille using students, parents of braille students, staff of the Blind Foundation teaching braille to adults and adult braille users.</w:t>
      </w:r>
    </w:p>
    <w:p w:rsidR="00B61224" w:rsidRDefault="00B61224" w:rsidP="00B61224">
      <w:pPr>
        <w:pStyle w:val="lb1"/>
      </w:pPr>
      <w:r>
        <w:t>• BANZAT is represented at the Annual Meeting of the ABA held in May where, among other things, experiences with the examination are shared. The need to secure ongoing funding for attendance by the New Zealand examiner has been raised in BANZAT's request for an increase in its annual grant.</w:t>
      </w:r>
    </w:p>
    <w:p w:rsidR="00B61224" w:rsidRDefault="00B61224" w:rsidP="00B61224">
      <w:pPr>
        <w:pStyle w:val="lb1"/>
      </w:pPr>
      <w:r>
        <w:t>• Since the Trans-Tasman Certificate was launched in 2008, 137 New Zealand candidates have passed, compared with 74 Australian candidates. Holding the Certificate is a component of the New Zealand qualification for Resource Teachers Vision.</w:t>
      </w:r>
    </w:p>
    <w:p w:rsidR="00B61224" w:rsidRDefault="00B61224" w:rsidP="00B61224">
      <w:pPr>
        <w:pStyle w:val="lb1"/>
      </w:pPr>
      <w:r>
        <w:t>• Trustees received a request to provide a re-sits option to those who did not pass the Certificate exam at their first attempt. Having written up the re-sits process, which we checked with ABA who raised no objections, we will run a trial in 2019 and evaluate the trial at the first meeting of BANZAT in 2020.</w:t>
      </w:r>
    </w:p>
    <w:p w:rsidR="00B61224" w:rsidRDefault="00B61224" w:rsidP="00B61224">
      <w:pPr>
        <w:pStyle w:val="lb1"/>
      </w:pPr>
      <w:r>
        <w:t>• Resources to run the Certificate examination are provided by the Blind Foundation. There is a need to secure the future funding of the setting and marking of the exam. This has been raised in BANZAT's request for an increase in its annual grant.</w:t>
      </w:r>
    </w:p>
    <w:p w:rsidR="00B61224" w:rsidRDefault="00B61224" w:rsidP="00B61224">
      <w:pPr>
        <w:pStyle w:val="lb1"/>
      </w:pPr>
      <w:r>
        <w:t>• The need has been identified for one or two more qualifications at lower levels than the criteria in the current certificate. Developing these qualifications will become a future project for BANZAT when resources have been identified.</w:t>
      </w:r>
    </w:p>
    <w:p w:rsidR="00B61224" w:rsidRDefault="00B61224" w:rsidP="00B61224">
      <w:pPr>
        <w:pStyle w:val="lb1"/>
      </w:pPr>
      <w:r>
        <w:t>• BANZAT has also established a framework for the accreditation of producers using computer translation software. This framework was adopted in September 2015 and is available on the BANZAT website in Policy 7.</w:t>
      </w:r>
    </w:p>
    <w:p w:rsidR="00B61224" w:rsidRDefault="00B61224" w:rsidP="00B61224">
      <w:pPr>
        <w:pStyle w:val="lb1"/>
      </w:pPr>
      <w:r>
        <w:t>• BANZAT's challenge is to market the qualifications to produce braille of accredited organisation and individual producers. Current marketing is on BANZAT's website.</w:t>
      </w:r>
    </w:p>
    <w:p w:rsidR="00B61224" w:rsidRDefault="00B61224" w:rsidP="00B61224">
      <w:pPr>
        <w:pStyle w:val="lb1"/>
      </w:pPr>
      <w:r>
        <w:t>• BANZAT recognises the need to offer training for those wishing to become accredited producers who are not employed by the Blind Foundation. Funding is needed for these training courses.</w:t>
      </w:r>
    </w:p>
    <w:p w:rsidR="00B61224" w:rsidRDefault="00B61224" w:rsidP="00B61224">
      <w:pPr>
        <w:pStyle w:val="lb1"/>
      </w:pPr>
    </w:p>
    <w:tbl>
      <w:tblPr>
        <w:tblStyle w:val="TableGrid"/>
        <w:tblW w:w="0" w:type="auto"/>
        <w:tblBorders>
          <w:insideH w:val="none" w:sz="0" w:space="0" w:color="auto"/>
        </w:tblBorders>
        <w:tblLayout w:type="fixed"/>
        <w:tblCellMar>
          <w:top w:w="60" w:type="dxa"/>
          <w:left w:w="60" w:type="dxa"/>
          <w:bottom w:w="60" w:type="dxa"/>
          <w:right w:w="60" w:type="dxa"/>
        </w:tblCellMar>
        <w:tblLook w:val="0600"/>
      </w:tblPr>
      <w:tblGrid>
        <w:gridCol w:w="5825"/>
        <w:gridCol w:w="1710"/>
        <w:gridCol w:w="1710"/>
      </w:tblGrid>
      <w:tr w:rsidR="00B61224" w:rsidTr="00B61224">
        <w:tc>
          <w:tcPr>
            <w:tcW w:w="5825" w:type="dxa"/>
            <w:shd w:val="clear" w:color="auto" w:fill="auto"/>
          </w:tcPr>
          <w:p w:rsidR="00B61224" w:rsidRDefault="00B61224" w:rsidP="00B61224">
            <w:r>
              <w:t>Item</w:t>
            </w:r>
          </w:p>
        </w:tc>
        <w:tc>
          <w:tcPr>
            <w:tcW w:w="1710" w:type="dxa"/>
            <w:shd w:val="clear" w:color="auto" w:fill="auto"/>
          </w:tcPr>
          <w:p w:rsidR="00B61224" w:rsidRDefault="00B61224" w:rsidP="00B61224">
            <w:pPr>
              <w:pStyle w:val="right"/>
            </w:pPr>
            <w:r>
              <w:t>2019</w:t>
            </w:r>
          </w:p>
        </w:tc>
        <w:tc>
          <w:tcPr>
            <w:tcW w:w="1710" w:type="dxa"/>
            <w:shd w:val="clear" w:color="auto" w:fill="auto"/>
          </w:tcPr>
          <w:p w:rsidR="00B61224" w:rsidRDefault="00B61224" w:rsidP="00B61224">
            <w:pPr>
              <w:pStyle w:val="right"/>
            </w:pPr>
            <w:r>
              <w:t>2018</w:t>
            </w:r>
          </w:p>
        </w:tc>
      </w:tr>
      <w:tr w:rsidR="00B61224" w:rsidTr="00B61224">
        <w:tc>
          <w:tcPr>
            <w:tcW w:w="5825" w:type="dxa"/>
            <w:shd w:val="clear" w:color="auto" w:fill="auto"/>
          </w:tcPr>
          <w:p w:rsidR="00B61224" w:rsidRPr="00B61224" w:rsidRDefault="00B61224" w:rsidP="00B61224">
            <w:r>
              <w:rPr>
                <w:b/>
              </w:rPr>
              <w:t>Trans-Tasman Certificate of Proficiency in Unified English Braille</w:t>
            </w:r>
          </w:p>
        </w:tc>
        <w:tc>
          <w:tcPr>
            <w:tcW w:w="1710" w:type="dxa"/>
            <w:shd w:val="clear" w:color="auto" w:fill="auto"/>
          </w:tcPr>
          <w:p w:rsidR="00B61224" w:rsidRDefault="00B61224" w:rsidP="00B61224">
            <w:pPr>
              <w:pStyle w:val="right"/>
            </w:pPr>
          </w:p>
        </w:tc>
        <w:tc>
          <w:tcPr>
            <w:tcW w:w="1710" w:type="dxa"/>
            <w:shd w:val="clear" w:color="auto" w:fill="auto"/>
          </w:tcPr>
          <w:p w:rsidR="00B61224" w:rsidRDefault="00B61224" w:rsidP="00B61224">
            <w:pPr>
              <w:pStyle w:val="right"/>
            </w:pPr>
          </w:p>
        </w:tc>
      </w:tr>
      <w:tr w:rsidR="00B61224" w:rsidTr="00B61224">
        <w:tc>
          <w:tcPr>
            <w:tcW w:w="5825" w:type="dxa"/>
            <w:shd w:val="clear" w:color="auto" w:fill="auto"/>
          </w:tcPr>
          <w:p w:rsidR="00B61224" w:rsidRDefault="00B61224" w:rsidP="00B61224">
            <w:r>
              <w:t>Number of candidates</w:t>
            </w:r>
          </w:p>
        </w:tc>
        <w:tc>
          <w:tcPr>
            <w:tcW w:w="1710" w:type="dxa"/>
            <w:shd w:val="clear" w:color="auto" w:fill="auto"/>
          </w:tcPr>
          <w:p w:rsidR="00B61224" w:rsidRDefault="00B61224" w:rsidP="00B61224">
            <w:pPr>
              <w:pStyle w:val="right"/>
            </w:pPr>
            <w:r>
              <w:t>21</w:t>
            </w:r>
          </w:p>
        </w:tc>
        <w:tc>
          <w:tcPr>
            <w:tcW w:w="1710" w:type="dxa"/>
            <w:shd w:val="clear" w:color="auto" w:fill="auto"/>
          </w:tcPr>
          <w:p w:rsidR="00B61224" w:rsidRDefault="00B61224" w:rsidP="00B61224">
            <w:pPr>
              <w:pStyle w:val="right"/>
            </w:pPr>
            <w:r>
              <w:t>11</w:t>
            </w:r>
          </w:p>
        </w:tc>
      </w:tr>
      <w:tr w:rsidR="00B61224" w:rsidTr="00B61224">
        <w:tc>
          <w:tcPr>
            <w:tcW w:w="5825" w:type="dxa"/>
            <w:shd w:val="clear" w:color="auto" w:fill="auto"/>
          </w:tcPr>
          <w:p w:rsidR="00B61224" w:rsidRDefault="00B61224" w:rsidP="00B61224">
            <w:r>
              <w:t>Number of passes</w:t>
            </w:r>
          </w:p>
        </w:tc>
        <w:tc>
          <w:tcPr>
            <w:tcW w:w="1710" w:type="dxa"/>
            <w:shd w:val="clear" w:color="auto" w:fill="auto"/>
          </w:tcPr>
          <w:p w:rsidR="00B61224" w:rsidRDefault="00B61224" w:rsidP="00B61224">
            <w:pPr>
              <w:pStyle w:val="right"/>
            </w:pPr>
            <w:r>
              <w:t>15</w:t>
            </w:r>
          </w:p>
        </w:tc>
        <w:tc>
          <w:tcPr>
            <w:tcW w:w="1710" w:type="dxa"/>
            <w:shd w:val="clear" w:color="auto" w:fill="auto"/>
          </w:tcPr>
          <w:p w:rsidR="00B61224" w:rsidRDefault="00B61224" w:rsidP="00B61224">
            <w:pPr>
              <w:pStyle w:val="right"/>
            </w:pPr>
            <w:r>
              <w:t>9</w:t>
            </w:r>
          </w:p>
        </w:tc>
      </w:tr>
      <w:tr w:rsidR="00B61224" w:rsidTr="00B61224">
        <w:tc>
          <w:tcPr>
            <w:tcW w:w="5825" w:type="dxa"/>
            <w:shd w:val="clear" w:color="auto" w:fill="auto"/>
          </w:tcPr>
          <w:p w:rsidR="00B61224" w:rsidRDefault="00B61224" w:rsidP="00C124DB">
            <w:r>
              <w:t>Hours per candidate to enrol candidates, set and mark the exam and prepare results/reports</w:t>
            </w:r>
          </w:p>
        </w:tc>
        <w:tc>
          <w:tcPr>
            <w:tcW w:w="1710" w:type="dxa"/>
            <w:shd w:val="clear" w:color="auto" w:fill="auto"/>
          </w:tcPr>
          <w:p w:rsidR="00B61224" w:rsidRDefault="00B61224" w:rsidP="00B61224">
            <w:pPr>
              <w:pStyle w:val="right"/>
            </w:pPr>
            <w:r>
              <w:t>6</w:t>
            </w:r>
          </w:p>
        </w:tc>
        <w:tc>
          <w:tcPr>
            <w:tcW w:w="1710" w:type="dxa"/>
            <w:shd w:val="clear" w:color="auto" w:fill="auto"/>
          </w:tcPr>
          <w:p w:rsidR="00B61224" w:rsidRDefault="00B61224" w:rsidP="00B61224">
            <w:pPr>
              <w:pStyle w:val="right"/>
            </w:pPr>
            <w:r>
              <w:t>6</w:t>
            </w:r>
          </w:p>
        </w:tc>
      </w:tr>
      <w:tr w:rsidR="00B61224" w:rsidTr="00B61224">
        <w:tc>
          <w:tcPr>
            <w:tcW w:w="5825" w:type="dxa"/>
            <w:shd w:val="clear" w:color="auto" w:fill="auto"/>
          </w:tcPr>
          <w:p w:rsidR="00B61224" w:rsidRPr="00B61224" w:rsidRDefault="00B61224" w:rsidP="00B61224">
            <w:r>
              <w:rPr>
                <w:b/>
              </w:rPr>
              <w:t>Accreditation of Producers Using Computer Translation Software</w:t>
            </w:r>
          </w:p>
        </w:tc>
        <w:tc>
          <w:tcPr>
            <w:tcW w:w="1710" w:type="dxa"/>
            <w:shd w:val="clear" w:color="auto" w:fill="auto"/>
          </w:tcPr>
          <w:p w:rsidR="00B61224" w:rsidRDefault="00B61224" w:rsidP="00B61224">
            <w:pPr>
              <w:pStyle w:val="right"/>
            </w:pPr>
          </w:p>
        </w:tc>
        <w:tc>
          <w:tcPr>
            <w:tcW w:w="1710" w:type="dxa"/>
            <w:shd w:val="clear" w:color="auto" w:fill="auto"/>
          </w:tcPr>
          <w:p w:rsidR="00B61224" w:rsidRDefault="00B61224" w:rsidP="00B61224">
            <w:pPr>
              <w:pStyle w:val="right"/>
            </w:pPr>
          </w:p>
        </w:tc>
      </w:tr>
      <w:tr w:rsidR="00B61224" w:rsidTr="00B61224">
        <w:tc>
          <w:tcPr>
            <w:tcW w:w="5825" w:type="dxa"/>
            <w:shd w:val="clear" w:color="auto" w:fill="auto"/>
          </w:tcPr>
          <w:p w:rsidR="00B61224" w:rsidRDefault="00B61224" w:rsidP="00B61224">
            <w:r>
              <w:t>Number of candidates</w:t>
            </w:r>
          </w:p>
        </w:tc>
        <w:tc>
          <w:tcPr>
            <w:tcW w:w="1710" w:type="dxa"/>
            <w:shd w:val="clear" w:color="auto" w:fill="auto"/>
          </w:tcPr>
          <w:p w:rsidR="00B61224" w:rsidRDefault="00B61224" w:rsidP="00B61224">
            <w:pPr>
              <w:pStyle w:val="right"/>
            </w:pPr>
            <w:r>
              <w:t>0</w:t>
            </w:r>
          </w:p>
        </w:tc>
        <w:tc>
          <w:tcPr>
            <w:tcW w:w="1710" w:type="dxa"/>
            <w:shd w:val="clear" w:color="auto" w:fill="auto"/>
          </w:tcPr>
          <w:p w:rsidR="00B61224" w:rsidRDefault="00B61224" w:rsidP="00B61224">
            <w:pPr>
              <w:pStyle w:val="right"/>
            </w:pPr>
            <w:r>
              <w:t>0</w:t>
            </w:r>
          </w:p>
        </w:tc>
      </w:tr>
    </w:tbl>
    <w:p w:rsidR="00B61224" w:rsidRDefault="00B61224" w:rsidP="00B61224">
      <w:pPr>
        <w:pStyle w:val="lb1"/>
      </w:pPr>
    </w:p>
    <w:p w:rsidR="00B61224" w:rsidRDefault="00B61224" w:rsidP="00B61224">
      <w:pPr>
        <w:pStyle w:val="Heading4"/>
      </w:pPr>
      <w:r>
        <w:lastRenderedPageBreak/>
        <w:t>(d) To promote braille as the prime literacy medium for blind people</w:t>
      </w:r>
    </w:p>
    <w:p w:rsidR="00B61224" w:rsidRDefault="00B61224" w:rsidP="00B61224">
      <w:pPr>
        <w:pStyle w:val="HeadingBlank"/>
      </w:pPr>
    </w:p>
    <w:p w:rsidR="00B61224" w:rsidRDefault="00B61224" w:rsidP="00B61224">
      <w:pPr>
        <w:pStyle w:val="lb1"/>
      </w:pPr>
      <w:r>
        <w:t>• Much of this activity is carried out by the five founding organisations in BANZAT.</w:t>
      </w:r>
    </w:p>
    <w:p w:rsidR="00B61224" w:rsidRDefault="00B61224" w:rsidP="00B61224">
      <w:pPr>
        <w:pStyle w:val="lb1"/>
      </w:pPr>
      <w:r>
        <w:t>• From August to November 2018 BLENNZ, with BANZAT's support, ran two competitions for students. Primary and Intermediate aged students were asked to make up a name for the New Zealand Braille Literacy Kiwi Mascot and collage a picture of it (A4 size). Individuals or groups of Secondary School or BLENNZ Transition students were invited to write a jingle for the BANZAT literacy competition using one/some or all of the following themes: Braille, Literacy, Conservation or Kiwi. Several prizes were awarded to participants in the primary/intermediate age group. Renee Patete was awarded a prize for her jingle. Her jingle, with photos and an explanation of how she wrote the lyrics and music are on the BANZAT website. Funding for the prizes came from the special fund of $3,000 for braille competitions for children which BANZAT received in 2017.</w:t>
      </w:r>
    </w:p>
    <w:p w:rsidR="00B61224" w:rsidRDefault="00B61224" w:rsidP="00B61224">
      <w:pPr>
        <w:pStyle w:val="lb1"/>
      </w:pPr>
      <w:r>
        <w:t>• The Strategic Framework for the Provision of Braille Services initiated by Blind Citizens NZ has been completed. BANZAT participated in the writing of the framework. Each of the participating organisations will be reporting on their work to meet the objectives in the framework in 2019.</w:t>
      </w:r>
    </w:p>
    <w:p w:rsidR="00B61224" w:rsidRDefault="00B61224" w:rsidP="00B61224">
      <w:pPr>
        <w:pStyle w:val="lb1"/>
      </w:pPr>
    </w:p>
    <w:p w:rsidR="00B61224" w:rsidRDefault="00B61224" w:rsidP="00B61224">
      <w:pPr>
        <w:pStyle w:val="Heading4"/>
      </w:pPr>
      <w:r>
        <w:t>(e) To promote best practice in teaching, acquisition and distribution of braille</w:t>
      </w:r>
    </w:p>
    <w:p w:rsidR="00B61224" w:rsidRDefault="00B61224" w:rsidP="00B61224">
      <w:pPr>
        <w:pStyle w:val="HeadingBlank"/>
      </w:pPr>
    </w:p>
    <w:p w:rsidR="00B61224" w:rsidRDefault="00B61224" w:rsidP="00B61224">
      <w:pPr>
        <w:pStyle w:val="lb1"/>
      </w:pPr>
      <w:r>
        <w:t>• The Copyright (Marrakesh Treaty Implementation) Amendment Bill amends the Copyright Act 1994 to allow New Zealand to accede to the Marrakesh Treaty to Facilitate Access to Published Works for Persons Who Are Blind, Visually Impaired, or Otherwise Print Disabled. BANZAT spoke to our submission to Parliament on 7 March. We are delighted that the Bill has passed into law and New Zealand should accede to the Treaty by the end of 2019.</w:t>
      </w:r>
    </w:p>
    <w:p w:rsidR="00B61224" w:rsidRDefault="00B61224" w:rsidP="00B61224">
      <w:pPr>
        <w:pStyle w:val="lb1"/>
      </w:pPr>
      <w:r>
        <w:t>• BANZAT submitted a paper to the May 2019 conference of the Round Table on Information Access for People with Print Disabilities. Titled “Is our data safe in the hands of accessible format producers?” it discussed the privileged nature of materials that accessible format producers handle and the care we need to take to maintain confidentiality about customers, their requests and the information being produced. The paper also discussed the new requirement in the New Zealand Copyright Act Section 69 which says an accessible format producer “ensures that the copy respects the integrity of the original work, as far as is reasonably possible and taking into account changes needed to make the work accessible in the alternative format”.</w:t>
      </w:r>
    </w:p>
    <w:p w:rsidR="00B61224" w:rsidRDefault="00B61224" w:rsidP="00B61224">
      <w:pPr>
        <w:pStyle w:val="lb1"/>
      </w:pPr>
      <w:r>
        <w:t>• Accessible Signage Guidelines have been updated and are live on the Blind Foundation website. BANZAT contributed to the updates.</w:t>
      </w:r>
    </w:p>
    <w:p w:rsidR="00B61224" w:rsidRDefault="00B61224" w:rsidP="00B61224">
      <w:pPr>
        <w:pStyle w:val="lb1"/>
      </w:pPr>
      <w:r>
        <w:t>• BANZAT administers its website, the New Zealand braille email discussion list, a Facebook page and a Twitter feed that promote literacy through braille including articles of interest about teaching braille and new braille technology.</w:t>
      </w:r>
    </w:p>
    <w:p w:rsidR="00B61224" w:rsidRDefault="00B61224" w:rsidP="00B61224">
      <w:pPr>
        <w:pStyle w:val="lb1"/>
      </w:pPr>
      <w:r>
        <w:t>• A social media plan has been prepared to guide increasing activity, especially on the Facebook page.</w:t>
      </w:r>
    </w:p>
    <w:p w:rsidR="00B61224" w:rsidRDefault="00B61224" w:rsidP="00B61224">
      <w:pPr>
        <w:pStyle w:val="lb1"/>
      </w:pPr>
      <w:r>
        <w:t>• The 12 Days of Braillemas post, uploaded to Facebook and the website on Christmas Eve 2018, went very well viewed by people in ten countries. The braille jingle composed by Renee Patete has also been successful in raising awareness about braille music.</w:t>
      </w:r>
    </w:p>
    <w:p w:rsidR="00B61224" w:rsidRDefault="00B61224" w:rsidP="00B61224">
      <w:pPr>
        <w:pStyle w:val="lb1"/>
        <w:sectPr w:rsidR="00B61224" w:rsidSect="00B61224">
          <w:pgSz w:w="11909" w:h="16834" w:code="9"/>
          <w:pgMar w:top="720" w:right="1440" w:bottom="720" w:left="1440" w:header="720" w:footer="720" w:gutter="0"/>
          <w:cols w:space="720"/>
          <w:docGrid w:linePitch="360"/>
        </w:sectPr>
      </w:pPr>
    </w:p>
    <w:tbl>
      <w:tblPr>
        <w:tblStyle w:val="TableGrid"/>
        <w:tblW w:w="0" w:type="auto"/>
        <w:tblBorders>
          <w:insideH w:val="none" w:sz="0" w:space="0" w:color="auto"/>
        </w:tblBorders>
        <w:tblLayout w:type="fixed"/>
        <w:tblCellMar>
          <w:top w:w="60" w:type="dxa"/>
          <w:left w:w="60" w:type="dxa"/>
          <w:bottom w:w="60" w:type="dxa"/>
          <w:right w:w="60" w:type="dxa"/>
        </w:tblCellMar>
        <w:tblLook w:val="0600"/>
      </w:tblPr>
      <w:tblGrid>
        <w:gridCol w:w="5716"/>
        <w:gridCol w:w="1686"/>
        <w:gridCol w:w="1709"/>
      </w:tblGrid>
      <w:tr w:rsidR="00B61224" w:rsidTr="00B61224">
        <w:tc>
          <w:tcPr>
            <w:tcW w:w="5716" w:type="dxa"/>
            <w:shd w:val="clear" w:color="auto" w:fill="auto"/>
          </w:tcPr>
          <w:p w:rsidR="00B61224" w:rsidRDefault="00B61224" w:rsidP="00B61224">
            <w:r>
              <w:lastRenderedPageBreak/>
              <w:t>Item</w:t>
            </w:r>
          </w:p>
        </w:tc>
        <w:tc>
          <w:tcPr>
            <w:tcW w:w="1686" w:type="dxa"/>
            <w:shd w:val="clear" w:color="auto" w:fill="auto"/>
          </w:tcPr>
          <w:p w:rsidR="00B61224" w:rsidRDefault="00B61224" w:rsidP="00B61224">
            <w:pPr>
              <w:pStyle w:val="right"/>
            </w:pPr>
            <w:r>
              <w:t>2019</w:t>
            </w:r>
          </w:p>
        </w:tc>
        <w:tc>
          <w:tcPr>
            <w:tcW w:w="1709" w:type="dxa"/>
            <w:shd w:val="clear" w:color="auto" w:fill="auto"/>
          </w:tcPr>
          <w:p w:rsidR="00B61224" w:rsidRDefault="00B61224" w:rsidP="00B61224">
            <w:pPr>
              <w:pStyle w:val="right"/>
            </w:pPr>
            <w:r>
              <w:t>2018</w:t>
            </w:r>
          </w:p>
        </w:tc>
      </w:tr>
      <w:tr w:rsidR="00B61224" w:rsidTr="00B61224">
        <w:tc>
          <w:tcPr>
            <w:tcW w:w="5716" w:type="dxa"/>
            <w:shd w:val="clear" w:color="auto" w:fill="auto"/>
          </w:tcPr>
          <w:p w:rsidR="00B61224" w:rsidRDefault="00B61224" w:rsidP="00B61224">
            <w:r>
              <w:t>Meetings of BANZAT</w:t>
            </w:r>
          </w:p>
        </w:tc>
        <w:tc>
          <w:tcPr>
            <w:tcW w:w="1686" w:type="dxa"/>
            <w:shd w:val="clear" w:color="auto" w:fill="auto"/>
          </w:tcPr>
          <w:p w:rsidR="00B61224" w:rsidRDefault="00B61224" w:rsidP="00B61224">
            <w:pPr>
              <w:pStyle w:val="right"/>
            </w:pPr>
            <w:r>
              <w:t>5</w:t>
            </w:r>
          </w:p>
        </w:tc>
        <w:tc>
          <w:tcPr>
            <w:tcW w:w="1709" w:type="dxa"/>
            <w:shd w:val="clear" w:color="auto" w:fill="auto"/>
          </w:tcPr>
          <w:p w:rsidR="00B61224" w:rsidRDefault="00B61224" w:rsidP="00B61224">
            <w:pPr>
              <w:pStyle w:val="right"/>
            </w:pPr>
            <w:r>
              <w:t>5</w:t>
            </w:r>
          </w:p>
        </w:tc>
      </w:tr>
      <w:tr w:rsidR="00B61224" w:rsidTr="00B61224">
        <w:tc>
          <w:tcPr>
            <w:tcW w:w="5716" w:type="dxa"/>
            <w:shd w:val="clear" w:color="auto" w:fill="auto"/>
          </w:tcPr>
          <w:p w:rsidR="00B61224" w:rsidRDefault="00B61224" w:rsidP="00B61224">
            <w:r>
              <w:t>Number of attendees at meetings</w:t>
            </w:r>
          </w:p>
        </w:tc>
        <w:tc>
          <w:tcPr>
            <w:tcW w:w="1686" w:type="dxa"/>
            <w:shd w:val="clear" w:color="auto" w:fill="auto"/>
          </w:tcPr>
          <w:p w:rsidR="00B61224" w:rsidRDefault="00B61224" w:rsidP="00B61224">
            <w:pPr>
              <w:pStyle w:val="right"/>
            </w:pPr>
            <w:r>
              <w:t>55</w:t>
            </w:r>
          </w:p>
        </w:tc>
        <w:tc>
          <w:tcPr>
            <w:tcW w:w="1709" w:type="dxa"/>
            <w:shd w:val="clear" w:color="auto" w:fill="auto"/>
          </w:tcPr>
          <w:p w:rsidR="00B61224" w:rsidRDefault="00B61224" w:rsidP="00B61224">
            <w:pPr>
              <w:pStyle w:val="right"/>
            </w:pPr>
            <w:r>
              <w:t>68</w:t>
            </w:r>
          </w:p>
        </w:tc>
      </w:tr>
      <w:tr w:rsidR="00B61224" w:rsidTr="00B61224">
        <w:tc>
          <w:tcPr>
            <w:tcW w:w="5716" w:type="dxa"/>
            <w:shd w:val="clear" w:color="auto" w:fill="auto"/>
          </w:tcPr>
          <w:p w:rsidR="00B61224" w:rsidRDefault="00B61224" w:rsidP="00B61224">
            <w:r>
              <w:t>Information, Publications and Awareness</w:t>
            </w:r>
          </w:p>
        </w:tc>
        <w:tc>
          <w:tcPr>
            <w:tcW w:w="1686" w:type="dxa"/>
            <w:shd w:val="clear" w:color="auto" w:fill="auto"/>
          </w:tcPr>
          <w:p w:rsidR="00B61224" w:rsidRDefault="00B61224" w:rsidP="00B61224">
            <w:pPr>
              <w:pStyle w:val="right"/>
            </w:pPr>
          </w:p>
        </w:tc>
        <w:tc>
          <w:tcPr>
            <w:tcW w:w="1709" w:type="dxa"/>
            <w:shd w:val="clear" w:color="auto" w:fill="auto"/>
          </w:tcPr>
          <w:p w:rsidR="00B61224" w:rsidRDefault="00B61224" w:rsidP="00B61224">
            <w:pPr>
              <w:pStyle w:val="right"/>
            </w:pPr>
          </w:p>
        </w:tc>
      </w:tr>
      <w:tr w:rsidR="00B61224" w:rsidTr="00B61224">
        <w:tc>
          <w:tcPr>
            <w:tcW w:w="5716" w:type="dxa"/>
            <w:shd w:val="clear" w:color="auto" w:fill="auto"/>
          </w:tcPr>
          <w:p w:rsidR="00B61224" w:rsidRDefault="00B61224" w:rsidP="00B61224">
            <w:r>
              <w:t>Website pageviews</w:t>
            </w:r>
          </w:p>
        </w:tc>
        <w:tc>
          <w:tcPr>
            <w:tcW w:w="1686" w:type="dxa"/>
            <w:shd w:val="clear" w:color="auto" w:fill="auto"/>
          </w:tcPr>
          <w:p w:rsidR="00B61224" w:rsidRDefault="00B61224" w:rsidP="00B61224">
            <w:pPr>
              <w:pStyle w:val="right"/>
            </w:pPr>
            <w:r>
              <w:t>770</w:t>
            </w:r>
          </w:p>
        </w:tc>
        <w:tc>
          <w:tcPr>
            <w:tcW w:w="1709" w:type="dxa"/>
            <w:shd w:val="clear" w:color="auto" w:fill="auto"/>
          </w:tcPr>
          <w:p w:rsidR="00B61224" w:rsidRDefault="00B61224" w:rsidP="00B61224">
            <w:pPr>
              <w:pStyle w:val="right"/>
            </w:pPr>
            <w:r>
              <w:t>not measured</w:t>
            </w:r>
          </w:p>
        </w:tc>
      </w:tr>
      <w:tr w:rsidR="00B61224" w:rsidTr="00B61224">
        <w:tc>
          <w:tcPr>
            <w:tcW w:w="5716" w:type="dxa"/>
            <w:shd w:val="clear" w:color="auto" w:fill="auto"/>
          </w:tcPr>
          <w:p w:rsidR="00B61224" w:rsidRDefault="00B61224" w:rsidP="00B61224">
            <w:r>
              <w:t>Website average daily pageviews</w:t>
            </w:r>
          </w:p>
        </w:tc>
        <w:tc>
          <w:tcPr>
            <w:tcW w:w="1686" w:type="dxa"/>
            <w:shd w:val="clear" w:color="auto" w:fill="auto"/>
          </w:tcPr>
          <w:p w:rsidR="00B61224" w:rsidRDefault="00B61224" w:rsidP="00B61224">
            <w:pPr>
              <w:pStyle w:val="right"/>
            </w:pPr>
            <w:r>
              <w:t>8</w:t>
            </w:r>
          </w:p>
        </w:tc>
        <w:tc>
          <w:tcPr>
            <w:tcW w:w="1709" w:type="dxa"/>
            <w:shd w:val="clear" w:color="auto" w:fill="auto"/>
          </w:tcPr>
          <w:p w:rsidR="00B61224" w:rsidRDefault="00B61224" w:rsidP="00B61224">
            <w:pPr>
              <w:pStyle w:val="right"/>
            </w:pPr>
            <w:r>
              <w:t>not measured</w:t>
            </w:r>
          </w:p>
        </w:tc>
      </w:tr>
      <w:tr w:rsidR="00B61224" w:rsidTr="00B61224">
        <w:tc>
          <w:tcPr>
            <w:tcW w:w="5716" w:type="dxa"/>
            <w:shd w:val="clear" w:color="auto" w:fill="auto"/>
          </w:tcPr>
          <w:p w:rsidR="00B61224" w:rsidRDefault="00B61224" w:rsidP="00B61224">
            <w:r>
              <w:t>Website unique IPs</w:t>
            </w:r>
          </w:p>
        </w:tc>
        <w:tc>
          <w:tcPr>
            <w:tcW w:w="1686" w:type="dxa"/>
            <w:shd w:val="clear" w:color="auto" w:fill="auto"/>
          </w:tcPr>
          <w:p w:rsidR="00B61224" w:rsidRDefault="00B61224" w:rsidP="00B61224">
            <w:pPr>
              <w:pStyle w:val="right"/>
            </w:pPr>
            <w:r>
              <w:t>274</w:t>
            </w:r>
          </w:p>
        </w:tc>
        <w:tc>
          <w:tcPr>
            <w:tcW w:w="1709" w:type="dxa"/>
            <w:shd w:val="clear" w:color="auto" w:fill="auto"/>
          </w:tcPr>
          <w:p w:rsidR="00B61224" w:rsidRDefault="00B61224" w:rsidP="00B61224">
            <w:pPr>
              <w:pStyle w:val="right"/>
            </w:pPr>
            <w:r>
              <w:t>not measured</w:t>
            </w:r>
          </w:p>
        </w:tc>
      </w:tr>
      <w:tr w:rsidR="00B61224" w:rsidTr="00B61224">
        <w:tc>
          <w:tcPr>
            <w:tcW w:w="5716" w:type="dxa"/>
            <w:shd w:val="clear" w:color="auto" w:fill="auto"/>
          </w:tcPr>
          <w:p w:rsidR="00B61224" w:rsidRDefault="00B61224" w:rsidP="00B61224">
            <w:r>
              <w:t>Number of Facebook likes</w:t>
            </w:r>
          </w:p>
        </w:tc>
        <w:tc>
          <w:tcPr>
            <w:tcW w:w="1686" w:type="dxa"/>
            <w:shd w:val="clear" w:color="auto" w:fill="auto"/>
          </w:tcPr>
          <w:p w:rsidR="00B61224" w:rsidRDefault="00B61224" w:rsidP="00B61224">
            <w:pPr>
              <w:pStyle w:val="right"/>
            </w:pPr>
            <w:r>
              <w:t>99</w:t>
            </w:r>
          </w:p>
        </w:tc>
        <w:tc>
          <w:tcPr>
            <w:tcW w:w="1709" w:type="dxa"/>
            <w:shd w:val="clear" w:color="auto" w:fill="auto"/>
          </w:tcPr>
          <w:p w:rsidR="00B61224" w:rsidRDefault="00B61224" w:rsidP="00B61224">
            <w:pPr>
              <w:pStyle w:val="right"/>
            </w:pPr>
            <w:r>
              <w:t>82</w:t>
            </w:r>
          </w:p>
        </w:tc>
      </w:tr>
      <w:tr w:rsidR="00B61224" w:rsidTr="00B61224">
        <w:tc>
          <w:tcPr>
            <w:tcW w:w="5716" w:type="dxa"/>
            <w:shd w:val="clear" w:color="auto" w:fill="auto"/>
          </w:tcPr>
          <w:p w:rsidR="00B61224" w:rsidRDefault="00B61224" w:rsidP="00B61224">
            <w:r>
              <w:t>Number of messages on NZ Braillists' Discussions email list</w:t>
            </w:r>
          </w:p>
        </w:tc>
        <w:tc>
          <w:tcPr>
            <w:tcW w:w="1686" w:type="dxa"/>
            <w:shd w:val="clear" w:color="auto" w:fill="auto"/>
          </w:tcPr>
          <w:p w:rsidR="00B61224" w:rsidRDefault="00B61224" w:rsidP="00B61224">
            <w:pPr>
              <w:pStyle w:val="right"/>
            </w:pPr>
            <w:r>
              <w:t>16</w:t>
            </w:r>
          </w:p>
        </w:tc>
        <w:tc>
          <w:tcPr>
            <w:tcW w:w="1709" w:type="dxa"/>
            <w:shd w:val="clear" w:color="auto" w:fill="auto"/>
          </w:tcPr>
          <w:p w:rsidR="00B61224" w:rsidRDefault="00B61224" w:rsidP="00B61224">
            <w:pPr>
              <w:pStyle w:val="right"/>
            </w:pPr>
            <w:r>
              <w:t>40</w:t>
            </w:r>
          </w:p>
        </w:tc>
      </w:tr>
    </w:tbl>
    <w:p w:rsidR="00B61224" w:rsidRDefault="00B61224" w:rsidP="00B61224">
      <w:pPr>
        <w:pStyle w:val="lb1"/>
        <w:sectPr w:rsidR="00B61224" w:rsidSect="00B61224">
          <w:pgSz w:w="11909" w:h="16834" w:code="9"/>
          <w:pgMar w:top="720" w:right="1440" w:bottom="720" w:left="1440" w:header="720" w:footer="720" w:gutter="0"/>
          <w:cols w:space="720"/>
          <w:docGrid w:linePitch="360"/>
        </w:sectPr>
      </w:pPr>
    </w:p>
    <w:p w:rsidR="00B61224" w:rsidRDefault="00B61224" w:rsidP="00B61224">
      <w:pPr>
        <w:pStyle w:val="Heading1"/>
      </w:pPr>
      <w:bookmarkStart w:id="3" w:name="_Toc18497719"/>
      <w:r>
        <w:lastRenderedPageBreak/>
        <w:t>Financial Information</w:t>
      </w:r>
      <w:bookmarkEnd w:id="3"/>
    </w:p>
    <w:p w:rsidR="00B61224" w:rsidRDefault="00B61224" w:rsidP="00B61224">
      <w:pPr>
        <w:pStyle w:val="HeadingBlank"/>
      </w:pPr>
    </w:p>
    <w:p w:rsidR="00B61224" w:rsidRDefault="00B61224" w:rsidP="00B61224">
      <w:pPr>
        <w:pStyle w:val="Title"/>
      </w:pPr>
      <w:r>
        <w:t>The Braille Authority of New Zealand</w:t>
      </w:r>
    </w:p>
    <w:p w:rsidR="00B61224" w:rsidRDefault="00B61224" w:rsidP="00B61224">
      <w:pPr>
        <w:pStyle w:val="Title"/>
      </w:pPr>
      <w:r>
        <w:t>Aotearoa Trust (BANZAT)</w:t>
      </w:r>
    </w:p>
    <w:p w:rsidR="00B61224" w:rsidRDefault="00B61224" w:rsidP="00B61224">
      <w:pPr>
        <w:pStyle w:val="HeadingBlank"/>
      </w:pPr>
    </w:p>
    <w:p w:rsidR="00B61224" w:rsidRDefault="00B61224" w:rsidP="00B61224">
      <w:pPr>
        <w:pStyle w:val="Heading2"/>
      </w:pPr>
      <w:bookmarkStart w:id="4" w:name="_Toc18497720"/>
      <w:r>
        <w:t>Statement of Financial Performance</w:t>
      </w:r>
      <w:bookmarkEnd w:id="4"/>
    </w:p>
    <w:p w:rsidR="00B61224" w:rsidRDefault="00B61224" w:rsidP="00B61224">
      <w:pPr>
        <w:pStyle w:val="HeadingBlank"/>
      </w:pPr>
    </w:p>
    <w:p w:rsidR="00B61224" w:rsidRDefault="00B61224" w:rsidP="00B61224">
      <w:r>
        <w:rPr>
          <w:b/>
        </w:rPr>
        <w:t>for the Year Ended 30 June 2019</w:t>
      </w:r>
    </w:p>
    <w:p w:rsidR="00B61224" w:rsidRDefault="00B61224" w:rsidP="00B61224"/>
    <w:tbl>
      <w:tblPr>
        <w:tblStyle w:val="TableGrid"/>
        <w:tblW w:w="0" w:type="auto"/>
        <w:tblLayout w:type="fixed"/>
        <w:tblCellMar>
          <w:top w:w="60" w:type="dxa"/>
          <w:left w:w="60" w:type="dxa"/>
          <w:bottom w:w="60" w:type="dxa"/>
          <w:right w:w="60" w:type="dxa"/>
        </w:tblCellMar>
        <w:tblLook w:val="0600"/>
      </w:tblPr>
      <w:tblGrid>
        <w:gridCol w:w="5760"/>
        <w:gridCol w:w="1728"/>
        <w:gridCol w:w="1728"/>
      </w:tblGrid>
      <w:tr w:rsidR="00B61224" w:rsidTr="00B61224">
        <w:tc>
          <w:tcPr>
            <w:tcW w:w="5760" w:type="dxa"/>
            <w:shd w:val="clear" w:color="auto" w:fill="auto"/>
          </w:tcPr>
          <w:p w:rsidR="00B61224" w:rsidRPr="00B61224" w:rsidRDefault="00B61224" w:rsidP="00B61224">
            <w:r>
              <w:rPr>
                <w:b/>
              </w:rPr>
              <w:t>Note</w:t>
            </w:r>
          </w:p>
        </w:tc>
        <w:tc>
          <w:tcPr>
            <w:tcW w:w="1728" w:type="dxa"/>
            <w:shd w:val="clear" w:color="auto" w:fill="auto"/>
          </w:tcPr>
          <w:p w:rsidR="00B61224" w:rsidRPr="00B61224" w:rsidRDefault="00B61224" w:rsidP="00B61224">
            <w:pPr>
              <w:pStyle w:val="right"/>
            </w:pPr>
            <w:r>
              <w:rPr>
                <w:b/>
              </w:rPr>
              <w:t>This Year</w:t>
            </w:r>
          </w:p>
        </w:tc>
        <w:tc>
          <w:tcPr>
            <w:tcW w:w="1728" w:type="dxa"/>
            <w:shd w:val="clear" w:color="auto" w:fill="auto"/>
          </w:tcPr>
          <w:p w:rsidR="00B61224" w:rsidRPr="00B61224" w:rsidRDefault="00B61224" w:rsidP="00B61224">
            <w:pPr>
              <w:pStyle w:val="right"/>
            </w:pPr>
            <w:r>
              <w:rPr>
                <w:b/>
              </w:rPr>
              <w:t>Last Year</w:t>
            </w:r>
          </w:p>
        </w:tc>
      </w:tr>
      <w:tr w:rsidR="00B61224" w:rsidTr="00B61224">
        <w:tc>
          <w:tcPr>
            <w:tcW w:w="5760" w:type="dxa"/>
            <w:shd w:val="clear" w:color="auto" w:fill="auto"/>
          </w:tcPr>
          <w:p w:rsidR="00B61224" w:rsidRDefault="00B61224" w:rsidP="00B61224">
            <w:pPr>
              <w:pStyle w:val="l1"/>
            </w:pPr>
            <w:r>
              <w:t>Income and expenditure report account</w:t>
            </w:r>
          </w:p>
        </w:tc>
        <w:tc>
          <w:tcPr>
            <w:tcW w:w="1728" w:type="dxa"/>
            <w:shd w:val="clear" w:color="auto" w:fill="auto"/>
          </w:tcPr>
          <w:p w:rsidR="00B61224" w:rsidRDefault="00B61224" w:rsidP="00B61224">
            <w:pPr>
              <w:pStyle w:val="right"/>
              <w:rPr>
                <w:b/>
              </w:rPr>
            </w:pPr>
          </w:p>
        </w:tc>
        <w:tc>
          <w:tcPr>
            <w:tcW w:w="1728" w:type="dxa"/>
            <w:shd w:val="clear" w:color="auto" w:fill="auto"/>
          </w:tcPr>
          <w:p w:rsidR="00B61224" w:rsidRDefault="00B61224" w:rsidP="00B61224">
            <w:pPr>
              <w:pStyle w:val="right"/>
              <w:rPr>
                <w:b/>
              </w:rPr>
            </w:pPr>
          </w:p>
        </w:tc>
      </w:tr>
      <w:tr w:rsidR="00B61224" w:rsidTr="00B61224">
        <w:tc>
          <w:tcPr>
            <w:tcW w:w="5760" w:type="dxa"/>
            <w:shd w:val="clear" w:color="auto" w:fill="auto"/>
          </w:tcPr>
          <w:p w:rsidR="00B61224" w:rsidRDefault="00B61224" w:rsidP="00B61224">
            <w:pPr>
              <w:pStyle w:val="l2"/>
            </w:pPr>
            <w:r>
              <w:t>Revenue</w:t>
            </w:r>
          </w:p>
        </w:tc>
        <w:tc>
          <w:tcPr>
            <w:tcW w:w="1728" w:type="dxa"/>
            <w:shd w:val="clear" w:color="auto" w:fill="auto"/>
          </w:tcPr>
          <w:p w:rsidR="00B61224" w:rsidRDefault="00B61224" w:rsidP="00B61224">
            <w:pPr>
              <w:pStyle w:val="right"/>
              <w:rPr>
                <w:b/>
              </w:rPr>
            </w:pPr>
          </w:p>
        </w:tc>
        <w:tc>
          <w:tcPr>
            <w:tcW w:w="1728" w:type="dxa"/>
            <w:shd w:val="clear" w:color="auto" w:fill="auto"/>
          </w:tcPr>
          <w:p w:rsidR="00B61224" w:rsidRDefault="00B61224" w:rsidP="00B61224">
            <w:pPr>
              <w:pStyle w:val="right"/>
              <w:rPr>
                <w:b/>
              </w:rPr>
            </w:pPr>
          </w:p>
        </w:tc>
      </w:tr>
      <w:tr w:rsidR="00B61224" w:rsidTr="00B61224">
        <w:tc>
          <w:tcPr>
            <w:tcW w:w="5760" w:type="dxa"/>
            <w:shd w:val="clear" w:color="auto" w:fill="auto"/>
          </w:tcPr>
          <w:p w:rsidR="00B61224" w:rsidRDefault="00B61224" w:rsidP="00B61224">
            <w:pPr>
              <w:pStyle w:val="l3"/>
            </w:pPr>
            <w:r>
              <w:t>Donations, fundraising and grants</w:t>
            </w:r>
          </w:p>
        </w:tc>
        <w:tc>
          <w:tcPr>
            <w:tcW w:w="1728" w:type="dxa"/>
            <w:shd w:val="clear" w:color="auto" w:fill="auto"/>
          </w:tcPr>
          <w:p w:rsidR="00B61224" w:rsidRDefault="00B61224" w:rsidP="00B61224">
            <w:pPr>
              <w:pStyle w:val="right"/>
              <w:rPr>
                <w:b/>
              </w:rPr>
            </w:pPr>
          </w:p>
        </w:tc>
        <w:tc>
          <w:tcPr>
            <w:tcW w:w="1728" w:type="dxa"/>
            <w:shd w:val="clear" w:color="auto" w:fill="auto"/>
          </w:tcPr>
          <w:p w:rsidR="00B61224" w:rsidRDefault="00B61224" w:rsidP="00B61224">
            <w:pPr>
              <w:pStyle w:val="right"/>
              <w:rPr>
                <w:b/>
              </w:rPr>
            </w:pPr>
          </w:p>
        </w:tc>
      </w:tr>
      <w:tr w:rsidR="00B61224" w:rsidTr="00B61224">
        <w:tc>
          <w:tcPr>
            <w:tcW w:w="5760" w:type="dxa"/>
            <w:shd w:val="clear" w:color="auto" w:fill="auto"/>
          </w:tcPr>
          <w:p w:rsidR="00B61224" w:rsidRDefault="00B61224" w:rsidP="00B61224">
            <w:pPr>
              <w:pStyle w:val="l4"/>
            </w:pPr>
            <w:r>
              <w:t>Grants</w:t>
            </w:r>
          </w:p>
        </w:tc>
        <w:tc>
          <w:tcPr>
            <w:tcW w:w="1728" w:type="dxa"/>
            <w:tcBorders>
              <w:bottom w:val="double" w:sz="4" w:space="0" w:color="auto"/>
            </w:tcBorders>
            <w:shd w:val="clear" w:color="auto" w:fill="auto"/>
          </w:tcPr>
          <w:p w:rsidR="00B61224" w:rsidRDefault="00B61224" w:rsidP="00B61224">
            <w:pPr>
              <w:pStyle w:val="right"/>
            </w:pPr>
            <w:r>
              <w:t>$8300.00</w:t>
            </w:r>
          </w:p>
        </w:tc>
        <w:tc>
          <w:tcPr>
            <w:tcW w:w="1728" w:type="dxa"/>
            <w:tcBorders>
              <w:bottom w:val="double" w:sz="4" w:space="0" w:color="auto"/>
            </w:tcBorders>
            <w:shd w:val="clear" w:color="auto" w:fill="auto"/>
          </w:tcPr>
          <w:p w:rsidR="00B61224" w:rsidRDefault="00B61224" w:rsidP="00B61224">
            <w:pPr>
              <w:pStyle w:val="right"/>
            </w:pPr>
            <w:r>
              <w:t>$8300.00</w:t>
            </w:r>
          </w:p>
        </w:tc>
      </w:tr>
      <w:tr w:rsidR="00B61224" w:rsidTr="00B61224">
        <w:tc>
          <w:tcPr>
            <w:tcW w:w="5760" w:type="dxa"/>
            <w:shd w:val="clear" w:color="auto" w:fill="auto"/>
          </w:tcPr>
          <w:p w:rsidR="00B61224" w:rsidRDefault="00B61224" w:rsidP="00B61224">
            <w:pPr>
              <w:pStyle w:val="l4"/>
            </w:pPr>
            <w:r>
              <w:t>Total donations, fundraising and grants</w:t>
            </w:r>
          </w:p>
        </w:tc>
        <w:tc>
          <w:tcPr>
            <w:tcW w:w="1728" w:type="dxa"/>
            <w:tcBorders>
              <w:top w:val="double" w:sz="4" w:space="0" w:color="auto"/>
            </w:tcBorders>
            <w:shd w:val="clear" w:color="auto" w:fill="auto"/>
          </w:tcPr>
          <w:p w:rsidR="00B61224" w:rsidRDefault="00B61224" w:rsidP="00B61224">
            <w:pPr>
              <w:pStyle w:val="right"/>
            </w:pPr>
            <w:r>
              <w:t>$8300.00</w:t>
            </w:r>
          </w:p>
        </w:tc>
        <w:tc>
          <w:tcPr>
            <w:tcW w:w="1728" w:type="dxa"/>
            <w:tcBorders>
              <w:top w:val="double" w:sz="4" w:space="0" w:color="auto"/>
            </w:tcBorders>
            <w:shd w:val="clear" w:color="auto" w:fill="auto"/>
          </w:tcPr>
          <w:p w:rsidR="00B61224" w:rsidRDefault="00B61224" w:rsidP="00B61224">
            <w:pPr>
              <w:pStyle w:val="right"/>
            </w:pPr>
            <w:r>
              <w:t>$8300.00</w:t>
            </w:r>
          </w:p>
        </w:tc>
      </w:tr>
      <w:tr w:rsidR="00B61224" w:rsidTr="00B61224">
        <w:tc>
          <w:tcPr>
            <w:tcW w:w="5760" w:type="dxa"/>
            <w:shd w:val="clear" w:color="auto" w:fill="auto"/>
          </w:tcPr>
          <w:p w:rsidR="00B61224" w:rsidRDefault="00B61224" w:rsidP="00B61224">
            <w:pPr>
              <w:pStyle w:val="l3"/>
            </w:pPr>
            <w:r>
              <w:t>Revenue from providing goods or services</w:t>
            </w:r>
          </w:p>
        </w:tc>
        <w:tc>
          <w:tcPr>
            <w:tcW w:w="1728" w:type="dxa"/>
            <w:shd w:val="clear" w:color="auto" w:fill="auto"/>
          </w:tcPr>
          <w:p w:rsidR="00B61224" w:rsidRDefault="00B61224" w:rsidP="00B61224">
            <w:pPr>
              <w:pStyle w:val="right"/>
            </w:pPr>
          </w:p>
        </w:tc>
        <w:tc>
          <w:tcPr>
            <w:tcW w:w="1728" w:type="dxa"/>
            <w:shd w:val="clear" w:color="auto" w:fill="auto"/>
          </w:tcPr>
          <w:p w:rsidR="00B61224" w:rsidRDefault="00B61224" w:rsidP="00B61224">
            <w:pPr>
              <w:pStyle w:val="right"/>
            </w:pPr>
          </w:p>
        </w:tc>
      </w:tr>
      <w:tr w:rsidR="00B61224" w:rsidTr="00B61224">
        <w:tc>
          <w:tcPr>
            <w:tcW w:w="5760" w:type="dxa"/>
            <w:shd w:val="clear" w:color="auto" w:fill="auto"/>
          </w:tcPr>
          <w:p w:rsidR="00B61224" w:rsidRDefault="00B61224" w:rsidP="00B61224">
            <w:pPr>
              <w:pStyle w:val="l4"/>
            </w:pPr>
            <w:r>
              <w:t>Accreditation Renewals</w:t>
            </w:r>
          </w:p>
        </w:tc>
        <w:tc>
          <w:tcPr>
            <w:tcW w:w="1728" w:type="dxa"/>
            <w:tcBorders>
              <w:bottom w:val="double" w:sz="4" w:space="0" w:color="auto"/>
            </w:tcBorders>
            <w:shd w:val="clear" w:color="auto" w:fill="auto"/>
          </w:tcPr>
          <w:p w:rsidR="00B61224" w:rsidRDefault="00B61224" w:rsidP="00B61224">
            <w:pPr>
              <w:pStyle w:val="right"/>
            </w:pPr>
            <w:r>
              <w:t>$50.00</w:t>
            </w:r>
          </w:p>
        </w:tc>
        <w:tc>
          <w:tcPr>
            <w:tcW w:w="1728" w:type="dxa"/>
            <w:tcBorders>
              <w:bottom w:val="double" w:sz="4" w:space="0" w:color="auto"/>
            </w:tcBorders>
            <w:shd w:val="clear" w:color="auto" w:fill="auto"/>
          </w:tcPr>
          <w:p w:rsidR="00B61224" w:rsidRDefault="00B61224" w:rsidP="00B61224">
            <w:pPr>
              <w:pStyle w:val="right"/>
            </w:pPr>
            <w:r>
              <w:t>$50.00</w:t>
            </w:r>
          </w:p>
        </w:tc>
      </w:tr>
      <w:tr w:rsidR="00B61224" w:rsidTr="00B61224">
        <w:tc>
          <w:tcPr>
            <w:tcW w:w="5760" w:type="dxa"/>
            <w:shd w:val="clear" w:color="auto" w:fill="auto"/>
          </w:tcPr>
          <w:p w:rsidR="00B61224" w:rsidRDefault="00B61224" w:rsidP="00B61224">
            <w:pPr>
              <w:pStyle w:val="l4"/>
            </w:pPr>
            <w:r>
              <w:t>Total revenue from providing goods or services</w:t>
            </w:r>
          </w:p>
        </w:tc>
        <w:tc>
          <w:tcPr>
            <w:tcW w:w="1728" w:type="dxa"/>
            <w:tcBorders>
              <w:top w:val="double" w:sz="4" w:space="0" w:color="auto"/>
            </w:tcBorders>
            <w:shd w:val="clear" w:color="auto" w:fill="auto"/>
          </w:tcPr>
          <w:p w:rsidR="00B61224" w:rsidRDefault="00B61224" w:rsidP="00B61224">
            <w:pPr>
              <w:pStyle w:val="right"/>
            </w:pPr>
            <w:r>
              <w:t>$50.00</w:t>
            </w:r>
          </w:p>
        </w:tc>
        <w:tc>
          <w:tcPr>
            <w:tcW w:w="1728" w:type="dxa"/>
            <w:tcBorders>
              <w:top w:val="double" w:sz="4" w:space="0" w:color="auto"/>
            </w:tcBorders>
            <w:shd w:val="clear" w:color="auto" w:fill="auto"/>
          </w:tcPr>
          <w:p w:rsidR="00B61224" w:rsidRDefault="00B61224" w:rsidP="00B61224">
            <w:pPr>
              <w:pStyle w:val="right"/>
            </w:pPr>
            <w:r>
              <w:t>$50.00</w:t>
            </w:r>
          </w:p>
        </w:tc>
      </w:tr>
      <w:tr w:rsidR="00B61224" w:rsidTr="00B61224">
        <w:tc>
          <w:tcPr>
            <w:tcW w:w="5760" w:type="dxa"/>
            <w:shd w:val="clear" w:color="auto" w:fill="auto"/>
          </w:tcPr>
          <w:p w:rsidR="00B61224" w:rsidRDefault="00B61224" w:rsidP="00B61224">
            <w:pPr>
              <w:pStyle w:val="l3"/>
            </w:pPr>
            <w:r>
              <w:t>Interest, dividends and other investment revenue</w:t>
            </w:r>
          </w:p>
        </w:tc>
        <w:tc>
          <w:tcPr>
            <w:tcW w:w="1728" w:type="dxa"/>
            <w:shd w:val="clear" w:color="auto" w:fill="auto"/>
          </w:tcPr>
          <w:p w:rsidR="00B61224" w:rsidRDefault="00B61224" w:rsidP="00B61224">
            <w:pPr>
              <w:pStyle w:val="right"/>
            </w:pPr>
          </w:p>
        </w:tc>
        <w:tc>
          <w:tcPr>
            <w:tcW w:w="1728" w:type="dxa"/>
            <w:shd w:val="clear" w:color="auto" w:fill="auto"/>
          </w:tcPr>
          <w:p w:rsidR="00B61224" w:rsidRDefault="00B61224" w:rsidP="00B61224">
            <w:pPr>
              <w:pStyle w:val="right"/>
            </w:pPr>
          </w:p>
        </w:tc>
      </w:tr>
      <w:tr w:rsidR="00B61224" w:rsidTr="00B61224">
        <w:tc>
          <w:tcPr>
            <w:tcW w:w="5760" w:type="dxa"/>
            <w:shd w:val="clear" w:color="auto" w:fill="auto"/>
          </w:tcPr>
          <w:p w:rsidR="00B61224" w:rsidRDefault="00B61224" w:rsidP="00B61224">
            <w:pPr>
              <w:pStyle w:val="l4"/>
            </w:pPr>
            <w:r>
              <w:t>Interest</w:t>
            </w:r>
          </w:p>
        </w:tc>
        <w:tc>
          <w:tcPr>
            <w:tcW w:w="1728" w:type="dxa"/>
            <w:tcBorders>
              <w:bottom w:val="double" w:sz="4" w:space="0" w:color="auto"/>
            </w:tcBorders>
            <w:shd w:val="clear" w:color="auto" w:fill="auto"/>
          </w:tcPr>
          <w:p w:rsidR="00B61224" w:rsidRDefault="00B61224" w:rsidP="00B61224">
            <w:pPr>
              <w:pStyle w:val="right"/>
            </w:pPr>
            <w:r>
              <w:t>$0.34</w:t>
            </w:r>
          </w:p>
        </w:tc>
        <w:tc>
          <w:tcPr>
            <w:tcW w:w="1728" w:type="dxa"/>
            <w:tcBorders>
              <w:bottom w:val="double" w:sz="4" w:space="0" w:color="auto"/>
            </w:tcBorders>
            <w:shd w:val="clear" w:color="auto" w:fill="auto"/>
          </w:tcPr>
          <w:p w:rsidR="00B61224" w:rsidRDefault="00B61224" w:rsidP="00B61224">
            <w:pPr>
              <w:pStyle w:val="right"/>
            </w:pPr>
            <w:r>
              <w:t>$0.01</w:t>
            </w:r>
          </w:p>
        </w:tc>
      </w:tr>
      <w:tr w:rsidR="00B61224" w:rsidTr="00B61224">
        <w:tc>
          <w:tcPr>
            <w:tcW w:w="5760" w:type="dxa"/>
            <w:shd w:val="clear" w:color="auto" w:fill="auto"/>
          </w:tcPr>
          <w:p w:rsidR="00B61224" w:rsidRDefault="00B61224" w:rsidP="00B61224">
            <w:pPr>
              <w:pStyle w:val="l4"/>
            </w:pPr>
            <w:r>
              <w:t>Total interest, dividends and other investment revenue</w:t>
            </w:r>
          </w:p>
        </w:tc>
        <w:tc>
          <w:tcPr>
            <w:tcW w:w="1728" w:type="dxa"/>
            <w:tcBorders>
              <w:top w:val="double" w:sz="4" w:space="0" w:color="auto"/>
              <w:bottom w:val="double" w:sz="4" w:space="0" w:color="auto"/>
            </w:tcBorders>
            <w:shd w:val="clear" w:color="auto" w:fill="auto"/>
          </w:tcPr>
          <w:p w:rsidR="00B61224" w:rsidRDefault="00B61224" w:rsidP="00B61224">
            <w:pPr>
              <w:pStyle w:val="right"/>
            </w:pPr>
            <w:r>
              <w:t>$0.34</w:t>
            </w:r>
          </w:p>
        </w:tc>
        <w:tc>
          <w:tcPr>
            <w:tcW w:w="1728" w:type="dxa"/>
            <w:tcBorders>
              <w:top w:val="double" w:sz="4" w:space="0" w:color="auto"/>
              <w:bottom w:val="double" w:sz="4" w:space="0" w:color="auto"/>
            </w:tcBorders>
            <w:shd w:val="clear" w:color="auto" w:fill="auto"/>
          </w:tcPr>
          <w:p w:rsidR="00B61224" w:rsidRDefault="00B61224" w:rsidP="00B61224">
            <w:pPr>
              <w:pStyle w:val="right"/>
            </w:pPr>
            <w:r>
              <w:t>$0.01</w:t>
            </w:r>
          </w:p>
        </w:tc>
      </w:tr>
      <w:tr w:rsidR="00B61224" w:rsidTr="00B61224">
        <w:tc>
          <w:tcPr>
            <w:tcW w:w="5760" w:type="dxa"/>
            <w:shd w:val="clear" w:color="auto" w:fill="auto"/>
          </w:tcPr>
          <w:p w:rsidR="00B61224" w:rsidRDefault="00B61224" w:rsidP="00B61224">
            <w:pPr>
              <w:pStyle w:val="l3"/>
            </w:pPr>
            <w:r>
              <w:t>Total revenue</w:t>
            </w:r>
          </w:p>
        </w:tc>
        <w:tc>
          <w:tcPr>
            <w:tcW w:w="1728" w:type="dxa"/>
            <w:tcBorders>
              <w:top w:val="double" w:sz="4" w:space="0" w:color="auto"/>
            </w:tcBorders>
            <w:shd w:val="clear" w:color="auto" w:fill="auto"/>
          </w:tcPr>
          <w:p w:rsidR="00B61224" w:rsidRDefault="00B61224" w:rsidP="00B61224">
            <w:pPr>
              <w:pStyle w:val="right"/>
            </w:pPr>
            <w:r>
              <w:t>$8350.34</w:t>
            </w:r>
          </w:p>
        </w:tc>
        <w:tc>
          <w:tcPr>
            <w:tcW w:w="1728" w:type="dxa"/>
            <w:tcBorders>
              <w:top w:val="double" w:sz="4" w:space="0" w:color="auto"/>
            </w:tcBorders>
            <w:shd w:val="clear" w:color="auto" w:fill="auto"/>
          </w:tcPr>
          <w:p w:rsidR="00B61224" w:rsidRDefault="00B61224" w:rsidP="00B61224">
            <w:pPr>
              <w:pStyle w:val="right"/>
            </w:pPr>
            <w:r>
              <w:t>$8350.01</w:t>
            </w:r>
          </w:p>
        </w:tc>
      </w:tr>
      <w:tr w:rsidR="00B61224" w:rsidTr="00B61224">
        <w:tc>
          <w:tcPr>
            <w:tcW w:w="5760" w:type="dxa"/>
            <w:shd w:val="clear" w:color="auto" w:fill="auto"/>
          </w:tcPr>
          <w:p w:rsidR="00B61224" w:rsidRDefault="00B61224" w:rsidP="00B61224">
            <w:pPr>
              <w:pStyle w:val="l2"/>
            </w:pPr>
            <w:r>
              <w:t>Expenses</w:t>
            </w:r>
          </w:p>
        </w:tc>
        <w:tc>
          <w:tcPr>
            <w:tcW w:w="1728" w:type="dxa"/>
            <w:shd w:val="clear" w:color="auto" w:fill="auto"/>
          </w:tcPr>
          <w:p w:rsidR="00B61224" w:rsidRDefault="00B61224" w:rsidP="00B61224">
            <w:pPr>
              <w:pStyle w:val="right"/>
            </w:pPr>
          </w:p>
        </w:tc>
        <w:tc>
          <w:tcPr>
            <w:tcW w:w="1728" w:type="dxa"/>
            <w:shd w:val="clear" w:color="auto" w:fill="auto"/>
          </w:tcPr>
          <w:p w:rsidR="00B61224" w:rsidRDefault="00B61224" w:rsidP="00B61224">
            <w:pPr>
              <w:pStyle w:val="right"/>
            </w:pPr>
          </w:p>
        </w:tc>
      </w:tr>
      <w:tr w:rsidR="00B61224" w:rsidTr="00B61224">
        <w:tc>
          <w:tcPr>
            <w:tcW w:w="5760" w:type="dxa"/>
            <w:shd w:val="clear" w:color="auto" w:fill="auto"/>
          </w:tcPr>
          <w:p w:rsidR="00B61224" w:rsidRDefault="00B61224" w:rsidP="00B61224">
            <w:pPr>
              <w:pStyle w:val="l3"/>
            </w:pPr>
            <w:r>
              <w:t>Costs of providing goods or services</w:t>
            </w:r>
          </w:p>
        </w:tc>
        <w:tc>
          <w:tcPr>
            <w:tcW w:w="1728" w:type="dxa"/>
            <w:shd w:val="clear" w:color="auto" w:fill="auto"/>
          </w:tcPr>
          <w:p w:rsidR="00B61224" w:rsidRDefault="00B61224" w:rsidP="00B61224">
            <w:pPr>
              <w:pStyle w:val="right"/>
            </w:pPr>
          </w:p>
        </w:tc>
        <w:tc>
          <w:tcPr>
            <w:tcW w:w="1728" w:type="dxa"/>
            <w:shd w:val="clear" w:color="auto" w:fill="auto"/>
          </w:tcPr>
          <w:p w:rsidR="00B61224" w:rsidRDefault="00B61224" w:rsidP="00B61224">
            <w:pPr>
              <w:pStyle w:val="right"/>
            </w:pPr>
          </w:p>
        </w:tc>
      </w:tr>
      <w:tr w:rsidR="00B61224" w:rsidTr="00B61224">
        <w:tc>
          <w:tcPr>
            <w:tcW w:w="5760" w:type="dxa"/>
            <w:shd w:val="clear" w:color="auto" w:fill="auto"/>
          </w:tcPr>
          <w:p w:rsidR="00B61224" w:rsidRDefault="00B61224" w:rsidP="00B61224">
            <w:pPr>
              <w:pStyle w:val="l4"/>
            </w:pPr>
            <w:r>
              <w:t>Administration</w:t>
            </w:r>
          </w:p>
        </w:tc>
        <w:tc>
          <w:tcPr>
            <w:tcW w:w="1728" w:type="dxa"/>
            <w:shd w:val="clear" w:color="auto" w:fill="auto"/>
          </w:tcPr>
          <w:p w:rsidR="00B61224" w:rsidRDefault="00B61224" w:rsidP="00B61224">
            <w:pPr>
              <w:pStyle w:val="right"/>
            </w:pPr>
            <w:r>
              <w:t>$3750.00</w:t>
            </w:r>
          </w:p>
        </w:tc>
        <w:tc>
          <w:tcPr>
            <w:tcW w:w="1728" w:type="dxa"/>
            <w:shd w:val="clear" w:color="auto" w:fill="auto"/>
          </w:tcPr>
          <w:p w:rsidR="00B61224" w:rsidRDefault="00B61224" w:rsidP="00B61224">
            <w:pPr>
              <w:pStyle w:val="right"/>
            </w:pPr>
            <w:r>
              <w:t>$3750.00</w:t>
            </w:r>
          </w:p>
        </w:tc>
      </w:tr>
      <w:tr w:rsidR="00B61224" w:rsidTr="00B61224">
        <w:tc>
          <w:tcPr>
            <w:tcW w:w="5760" w:type="dxa"/>
            <w:shd w:val="clear" w:color="auto" w:fill="auto"/>
          </w:tcPr>
          <w:p w:rsidR="00B61224" w:rsidRDefault="00B61224" w:rsidP="00B61224">
            <w:pPr>
              <w:pStyle w:val="l4"/>
            </w:pPr>
            <w:r>
              <w:t>Website</w:t>
            </w:r>
          </w:p>
        </w:tc>
        <w:tc>
          <w:tcPr>
            <w:tcW w:w="1728" w:type="dxa"/>
            <w:shd w:val="clear" w:color="auto" w:fill="auto"/>
          </w:tcPr>
          <w:p w:rsidR="00B61224" w:rsidRDefault="00B61224" w:rsidP="00B61224">
            <w:pPr>
              <w:pStyle w:val="right"/>
            </w:pPr>
            <w:r>
              <w:t>$98.31</w:t>
            </w:r>
          </w:p>
        </w:tc>
        <w:tc>
          <w:tcPr>
            <w:tcW w:w="1728" w:type="dxa"/>
            <w:shd w:val="clear" w:color="auto" w:fill="auto"/>
          </w:tcPr>
          <w:p w:rsidR="00B61224" w:rsidRDefault="00B61224" w:rsidP="00B61224">
            <w:pPr>
              <w:pStyle w:val="right"/>
            </w:pPr>
            <w:r>
              <w:t>$57.90</w:t>
            </w:r>
          </w:p>
        </w:tc>
      </w:tr>
      <w:tr w:rsidR="00B61224" w:rsidTr="00B61224">
        <w:tc>
          <w:tcPr>
            <w:tcW w:w="5760" w:type="dxa"/>
            <w:shd w:val="clear" w:color="auto" w:fill="auto"/>
          </w:tcPr>
          <w:p w:rsidR="00B61224" w:rsidRDefault="00B61224" w:rsidP="00B61224">
            <w:pPr>
              <w:pStyle w:val="l4"/>
            </w:pPr>
            <w:r>
              <w:t>Membership fees</w:t>
            </w:r>
          </w:p>
        </w:tc>
        <w:tc>
          <w:tcPr>
            <w:tcW w:w="1728" w:type="dxa"/>
            <w:shd w:val="clear" w:color="auto" w:fill="auto"/>
          </w:tcPr>
          <w:p w:rsidR="00B61224" w:rsidRDefault="00B61224" w:rsidP="00B61224">
            <w:pPr>
              <w:pStyle w:val="right"/>
            </w:pPr>
            <w:r>
              <w:t>$770.36</w:t>
            </w:r>
          </w:p>
        </w:tc>
        <w:tc>
          <w:tcPr>
            <w:tcW w:w="1728" w:type="dxa"/>
            <w:shd w:val="clear" w:color="auto" w:fill="auto"/>
          </w:tcPr>
          <w:p w:rsidR="00B61224" w:rsidRDefault="00B61224" w:rsidP="00B61224">
            <w:pPr>
              <w:pStyle w:val="right"/>
            </w:pPr>
            <w:r>
              <w:t>$722.63</w:t>
            </w:r>
          </w:p>
        </w:tc>
      </w:tr>
      <w:tr w:rsidR="00B61224" w:rsidTr="00B61224">
        <w:tc>
          <w:tcPr>
            <w:tcW w:w="5760" w:type="dxa"/>
            <w:shd w:val="clear" w:color="auto" w:fill="auto"/>
          </w:tcPr>
          <w:p w:rsidR="00B61224" w:rsidRDefault="00B61224" w:rsidP="00B61224">
            <w:pPr>
              <w:pStyle w:val="l4"/>
            </w:pPr>
            <w:r>
              <w:t>Travel air fares &amp; taxis</w:t>
            </w:r>
          </w:p>
        </w:tc>
        <w:tc>
          <w:tcPr>
            <w:tcW w:w="1728" w:type="dxa"/>
            <w:shd w:val="clear" w:color="auto" w:fill="auto"/>
          </w:tcPr>
          <w:p w:rsidR="00B61224" w:rsidRDefault="00B61224" w:rsidP="00B61224">
            <w:pPr>
              <w:pStyle w:val="right"/>
            </w:pPr>
            <w:r>
              <w:t>$2688.94</w:t>
            </w:r>
          </w:p>
        </w:tc>
        <w:tc>
          <w:tcPr>
            <w:tcW w:w="1728" w:type="dxa"/>
            <w:shd w:val="clear" w:color="auto" w:fill="auto"/>
          </w:tcPr>
          <w:p w:rsidR="00B61224" w:rsidRDefault="00B61224" w:rsidP="00B61224">
            <w:pPr>
              <w:pStyle w:val="right"/>
            </w:pPr>
            <w:r>
              <w:t>$4115.51</w:t>
            </w:r>
          </w:p>
        </w:tc>
      </w:tr>
      <w:tr w:rsidR="00B61224" w:rsidTr="00B61224">
        <w:tc>
          <w:tcPr>
            <w:tcW w:w="5760" w:type="dxa"/>
            <w:shd w:val="clear" w:color="auto" w:fill="auto"/>
          </w:tcPr>
          <w:p w:rsidR="00B61224" w:rsidRDefault="00B61224" w:rsidP="00B61224">
            <w:pPr>
              <w:pStyle w:val="l4"/>
            </w:pPr>
            <w:r>
              <w:t>Braille competitions prizes</w:t>
            </w:r>
          </w:p>
        </w:tc>
        <w:tc>
          <w:tcPr>
            <w:tcW w:w="1728" w:type="dxa"/>
            <w:shd w:val="clear" w:color="auto" w:fill="auto"/>
          </w:tcPr>
          <w:p w:rsidR="00B61224" w:rsidRDefault="00B61224" w:rsidP="00B61224">
            <w:pPr>
              <w:pStyle w:val="right"/>
            </w:pPr>
            <w:r>
              <w:t>$632.67</w:t>
            </w:r>
          </w:p>
        </w:tc>
        <w:tc>
          <w:tcPr>
            <w:tcW w:w="1728" w:type="dxa"/>
            <w:shd w:val="clear" w:color="auto" w:fill="auto"/>
          </w:tcPr>
          <w:p w:rsidR="00B61224" w:rsidRDefault="00B61224" w:rsidP="00B61224">
            <w:pPr>
              <w:pStyle w:val="right"/>
            </w:pPr>
            <w:r>
              <w:t>$0.00</w:t>
            </w:r>
          </w:p>
        </w:tc>
      </w:tr>
      <w:tr w:rsidR="00B61224" w:rsidTr="00B61224">
        <w:tc>
          <w:tcPr>
            <w:tcW w:w="5760" w:type="dxa"/>
            <w:shd w:val="clear" w:color="auto" w:fill="auto"/>
          </w:tcPr>
          <w:p w:rsidR="00B61224" w:rsidRDefault="00B61224" w:rsidP="00B61224">
            <w:pPr>
              <w:pStyle w:val="l4"/>
            </w:pPr>
            <w:r>
              <w:t>Catering and room hire</w:t>
            </w:r>
          </w:p>
        </w:tc>
        <w:tc>
          <w:tcPr>
            <w:tcW w:w="1728" w:type="dxa"/>
            <w:shd w:val="clear" w:color="auto" w:fill="auto"/>
          </w:tcPr>
          <w:p w:rsidR="00B61224" w:rsidRDefault="00B61224" w:rsidP="00B61224">
            <w:pPr>
              <w:pStyle w:val="right"/>
            </w:pPr>
            <w:r>
              <w:t>$118.09</w:t>
            </w:r>
          </w:p>
        </w:tc>
        <w:tc>
          <w:tcPr>
            <w:tcW w:w="1728" w:type="dxa"/>
            <w:shd w:val="clear" w:color="auto" w:fill="auto"/>
          </w:tcPr>
          <w:p w:rsidR="00B61224" w:rsidRDefault="00B61224" w:rsidP="00B61224">
            <w:pPr>
              <w:pStyle w:val="right"/>
            </w:pPr>
            <w:r>
              <w:t>$79.87</w:t>
            </w:r>
          </w:p>
        </w:tc>
      </w:tr>
      <w:tr w:rsidR="00B61224" w:rsidTr="00B61224">
        <w:tc>
          <w:tcPr>
            <w:tcW w:w="5760" w:type="dxa"/>
            <w:shd w:val="clear" w:color="auto" w:fill="auto"/>
          </w:tcPr>
          <w:p w:rsidR="00B61224" w:rsidRDefault="00B61224" w:rsidP="00B61224">
            <w:pPr>
              <w:pStyle w:val="l4"/>
            </w:pPr>
            <w:r>
              <w:t>Miscellaneous</w:t>
            </w:r>
          </w:p>
        </w:tc>
        <w:tc>
          <w:tcPr>
            <w:tcW w:w="1728" w:type="dxa"/>
            <w:tcBorders>
              <w:bottom w:val="double" w:sz="4" w:space="0" w:color="auto"/>
            </w:tcBorders>
            <w:shd w:val="clear" w:color="auto" w:fill="auto"/>
          </w:tcPr>
          <w:p w:rsidR="00B61224" w:rsidRDefault="00B61224" w:rsidP="00B61224">
            <w:pPr>
              <w:pStyle w:val="right"/>
            </w:pPr>
            <w:r>
              <w:t>$0.00</w:t>
            </w:r>
          </w:p>
        </w:tc>
        <w:tc>
          <w:tcPr>
            <w:tcW w:w="1728" w:type="dxa"/>
            <w:tcBorders>
              <w:bottom w:val="double" w:sz="4" w:space="0" w:color="auto"/>
            </w:tcBorders>
            <w:shd w:val="clear" w:color="auto" w:fill="auto"/>
          </w:tcPr>
          <w:p w:rsidR="00B61224" w:rsidRDefault="00B61224" w:rsidP="00B61224">
            <w:pPr>
              <w:pStyle w:val="right"/>
            </w:pPr>
            <w:r>
              <w:t>$44.44</w:t>
            </w:r>
          </w:p>
        </w:tc>
      </w:tr>
      <w:tr w:rsidR="00B61224" w:rsidTr="00B61224">
        <w:tc>
          <w:tcPr>
            <w:tcW w:w="5760" w:type="dxa"/>
            <w:shd w:val="clear" w:color="auto" w:fill="auto"/>
          </w:tcPr>
          <w:p w:rsidR="00B61224" w:rsidRDefault="00B61224" w:rsidP="00B61224">
            <w:pPr>
              <w:pStyle w:val="l4"/>
            </w:pPr>
            <w:r>
              <w:t>Total costs of providing goods or services</w:t>
            </w:r>
          </w:p>
        </w:tc>
        <w:tc>
          <w:tcPr>
            <w:tcW w:w="1728" w:type="dxa"/>
            <w:tcBorders>
              <w:top w:val="double" w:sz="4" w:space="0" w:color="auto"/>
              <w:bottom w:val="double" w:sz="4" w:space="0" w:color="auto"/>
            </w:tcBorders>
            <w:shd w:val="clear" w:color="auto" w:fill="auto"/>
          </w:tcPr>
          <w:p w:rsidR="00B61224" w:rsidRDefault="00B61224" w:rsidP="00B61224">
            <w:pPr>
              <w:pStyle w:val="right"/>
            </w:pPr>
            <w:r>
              <w:t>$8058.37</w:t>
            </w:r>
          </w:p>
        </w:tc>
        <w:tc>
          <w:tcPr>
            <w:tcW w:w="1728" w:type="dxa"/>
            <w:tcBorders>
              <w:top w:val="double" w:sz="4" w:space="0" w:color="auto"/>
              <w:bottom w:val="double" w:sz="4" w:space="0" w:color="auto"/>
            </w:tcBorders>
            <w:shd w:val="clear" w:color="auto" w:fill="auto"/>
          </w:tcPr>
          <w:p w:rsidR="00B61224" w:rsidRDefault="00B61224" w:rsidP="00B61224">
            <w:pPr>
              <w:pStyle w:val="right"/>
            </w:pPr>
            <w:r>
              <w:t>$8770.35</w:t>
            </w:r>
          </w:p>
        </w:tc>
      </w:tr>
      <w:tr w:rsidR="00B61224" w:rsidTr="00B61224">
        <w:tc>
          <w:tcPr>
            <w:tcW w:w="5760" w:type="dxa"/>
            <w:shd w:val="clear" w:color="auto" w:fill="auto"/>
          </w:tcPr>
          <w:p w:rsidR="00B61224" w:rsidRDefault="00B61224" w:rsidP="00B61224">
            <w:pPr>
              <w:pStyle w:val="l3"/>
            </w:pPr>
            <w:r>
              <w:t>Total expenses</w:t>
            </w:r>
          </w:p>
        </w:tc>
        <w:tc>
          <w:tcPr>
            <w:tcW w:w="1728" w:type="dxa"/>
            <w:tcBorders>
              <w:top w:val="double" w:sz="4" w:space="0" w:color="auto"/>
              <w:bottom w:val="double" w:sz="4" w:space="0" w:color="auto"/>
            </w:tcBorders>
            <w:shd w:val="clear" w:color="auto" w:fill="auto"/>
          </w:tcPr>
          <w:p w:rsidR="00B61224" w:rsidRDefault="00B61224" w:rsidP="00B61224">
            <w:pPr>
              <w:pStyle w:val="right"/>
            </w:pPr>
            <w:r>
              <w:t>$8058.37</w:t>
            </w:r>
          </w:p>
        </w:tc>
        <w:tc>
          <w:tcPr>
            <w:tcW w:w="1728" w:type="dxa"/>
            <w:tcBorders>
              <w:top w:val="double" w:sz="4" w:space="0" w:color="auto"/>
              <w:bottom w:val="double" w:sz="4" w:space="0" w:color="auto"/>
            </w:tcBorders>
            <w:shd w:val="clear" w:color="auto" w:fill="auto"/>
          </w:tcPr>
          <w:p w:rsidR="00B61224" w:rsidRDefault="00B61224" w:rsidP="00B61224">
            <w:pPr>
              <w:pStyle w:val="right"/>
            </w:pPr>
            <w:r>
              <w:t>$8770.35</w:t>
            </w:r>
          </w:p>
        </w:tc>
      </w:tr>
      <w:tr w:rsidR="00B61224" w:rsidTr="00B61224">
        <w:tc>
          <w:tcPr>
            <w:tcW w:w="5760" w:type="dxa"/>
            <w:shd w:val="clear" w:color="auto" w:fill="auto"/>
          </w:tcPr>
          <w:p w:rsidR="00B61224" w:rsidRDefault="00B61224" w:rsidP="00B61224">
            <w:pPr>
              <w:pStyle w:val="l2"/>
            </w:pPr>
            <w:r>
              <w:t>Surplus/deficit for the year</w:t>
            </w:r>
          </w:p>
        </w:tc>
        <w:tc>
          <w:tcPr>
            <w:tcW w:w="1728" w:type="dxa"/>
            <w:tcBorders>
              <w:top w:val="double" w:sz="4" w:space="0" w:color="auto"/>
            </w:tcBorders>
            <w:shd w:val="clear" w:color="auto" w:fill="auto"/>
          </w:tcPr>
          <w:p w:rsidR="00B61224" w:rsidRDefault="00B61224" w:rsidP="00B61224">
            <w:pPr>
              <w:pStyle w:val="right"/>
            </w:pPr>
            <w:r>
              <w:t>$291.97</w:t>
            </w:r>
          </w:p>
        </w:tc>
        <w:tc>
          <w:tcPr>
            <w:tcW w:w="1728" w:type="dxa"/>
            <w:tcBorders>
              <w:top w:val="double" w:sz="4" w:space="0" w:color="auto"/>
            </w:tcBorders>
            <w:shd w:val="clear" w:color="auto" w:fill="auto"/>
          </w:tcPr>
          <w:p w:rsidR="00B61224" w:rsidRDefault="00B61224" w:rsidP="00B61224">
            <w:pPr>
              <w:pStyle w:val="right"/>
            </w:pPr>
            <w:r>
              <w:t>($-420.34)</w:t>
            </w:r>
          </w:p>
        </w:tc>
      </w:tr>
    </w:tbl>
    <w:p w:rsidR="00B61224" w:rsidRDefault="00B61224" w:rsidP="00B61224">
      <w:pPr>
        <w:sectPr w:rsidR="00B61224" w:rsidSect="00B61224">
          <w:pgSz w:w="11909" w:h="16834" w:code="9"/>
          <w:pgMar w:top="720" w:right="1440" w:bottom="720" w:left="1440" w:header="720" w:footer="720" w:gutter="0"/>
          <w:cols w:space="720"/>
          <w:docGrid w:linePitch="360"/>
        </w:sectPr>
      </w:pPr>
    </w:p>
    <w:p w:rsidR="00B61224" w:rsidRDefault="00B61224" w:rsidP="00B61224">
      <w:pPr>
        <w:pStyle w:val="Title"/>
      </w:pPr>
      <w:r>
        <w:lastRenderedPageBreak/>
        <w:t>The Braille Authority of New Zealand</w:t>
      </w:r>
    </w:p>
    <w:p w:rsidR="00B61224" w:rsidRDefault="00B61224" w:rsidP="00B61224">
      <w:pPr>
        <w:pStyle w:val="Title"/>
      </w:pPr>
      <w:r>
        <w:t>Aotearoa Trust (BANZAT)</w:t>
      </w:r>
    </w:p>
    <w:p w:rsidR="00B61224" w:rsidRDefault="00B61224" w:rsidP="00B61224">
      <w:pPr>
        <w:pStyle w:val="HeadingBlank"/>
      </w:pPr>
    </w:p>
    <w:p w:rsidR="00B61224" w:rsidRDefault="00B61224" w:rsidP="00B61224">
      <w:pPr>
        <w:pStyle w:val="Heading2"/>
      </w:pPr>
      <w:bookmarkStart w:id="5" w:name="_Toc18497721"/>
      <w:r>
        <w:t>Statement of Financial Position</w:t>
      </w:r>
      <w:bookmarkEnd w:id="5"/>
    </w:p>
    <w:p w:rsidR="00B61224" w:rsidRDefault="00B61224" w:rsidP="00B61224">
      <w:pPr>
        <w:pStyle w:val="HeadingBlank"/>
      </w:pPr>
    </w:p>
    <w:p w:rsidR="00B61224" w:rsidRDefault="00B61224" w:rsidP="00B61224">
      <w:r>
        <w:rPr>
          <w:b/>
        </w:rPr>
        <w:t>as at 30 June 2019</w:t>
      </w:r>
    </w:p>
    <w:p w:rsidR="00B61224" w:rsidRDefault="00B61224" w:rsidP="00B61224"/>
    <w:p w:rsidR="00B61224" w:rsidRDefault="00B61224" w:rsidP="00B61224"/>
    <w:tbl>
      <w:tblPr>
        <w:tblStyle w:val="TableGrid"/>
        <w:tblW w:w="0" w:type="auto"/>
        <w:tblLayout w:type="fixed"/>
        <w:tblCellMar>
          <w:top w:w="60" w:type="dxa"/>
          <w:left w:w="60" w:type="dxa"/>
          <w:bottom w:w="60" w:type="dxa"/>
          <w:right w:w="60" w:type="dxa"/>
        </w:tblCellMar>
        <w:tblLook w:val="0600"/>
      </w:tblPr>
      <w:tblGrid>
        <w:gridCol w:w="5760"/>
        <w:gridCol w:w="1728"/>
        <w:gridCol w:w="1728"/>
      </w:tblGrid>
      <w:tr w:rsidR="00B61224" w:rsidTr="00B61224">
        <w:tc>
          <w:tcPr>
            <w:tcW w:w="5760" w:type="dxa"/>
            <w:shd w:val="clear" w:color="auto" w:fill="auto"/>
          </w:tcPr>
          <w:p w:rsidR="00B61224" w:rsidRPr="00B61224" w:rsidRDefault="00B61224" w:rsidP="00B61224">
            <w:r>
              <w:rPr>
                <w:b/>
              </w:rPr>
              <w:t>Note</w:t>
            </w:r>
          </w:p>
        </w:tc>
        <w:tc>
          <w:tcPr>
            <w:tcW w:w="1728" w:type="dxa"/>
            <w:shd w:val="clear" w:color="auto" w:fill="auto"/>
          </w:tcPr>
          <w:p w:rsidR="00B61224" w:rsidRPr="00B61224" w:rsidRDefault="00B61224" w:rsidP="00B61224">
            <w:pPr>
              <w:pStyle w:val="right"/>
            </w:pPr>
            <w:r>
              <w:rPr>
                <w:b/>
              </w:rPr>
              <w:t>This Year</w:t>
            </w:r>
          </w:p>
        </w:tc>
        <w:tc>
          <w:tcPr>
            <w:tcW w:w="1728" w:type="dxa"/>
            <w:shd w:val="clear" w:color="auto" w:fill="auto"/>
          </w:tcPr>
          <w:p w:rsidR="00B61224" w:rsidRPr="00B61224" w:rsidRDefault="00B61224" w:rsidP="00B61224">
            <w:pPr>
              <w:pStyle w:val="right"/>
            </w:pPr>
            <w:r>
              <w:rPr>
                <w:b/>
              </w:rPr>
              <w:t>Last Year</w:t>
            </w:r>
          </w:p>
        </w:tc>
      </w:tr>
      <w:tr w:rsidR="00B61224" w:rsidTr="00B61224">
        <w:tc>
          <w:tcPr>
            <w:tcW w:w="5760" w:type="dxa"/>
            <w:shd w:val="clear" w:color="auto" w:fill="auto"/>
          </w:tcPr>
          <w:p w:rsidR="00B61224" w:rsidRDefault="00B61224" w:rsidP="00B61224">
            <w:pPr>
              <w:pStyle w:val="l1"/>
            </w:pPr>
            <w:r>
              <w:t>Balance sheet account</w:t>
            </w:r>
          </w:p>
        </w:tc>
        <w:tc>
          <w:tcPr>
            <w:tcW w:w="1728" w:type="dxa"/>
            <w:shd w:val="clear" w:color="auto" w:fill="auto"/>
          </w:tcPr>
          <w:p w:rsidR="00B61224" w:rsidRDefault="00B61224" w:rsidP="00B61224">
            <w:pPr>
              <w:pStyle w:val="right"/>
              <w:rPr>
                <w:b/>
              </w:rPr>
            </w:pPr>
          </w:p>
        </w:tc>
        <w:tc>
          <w:tcPr>
            <w:tcW w:w="1728" w:type="dxa"/>
            <w:shd w:val="clear" w:color="auto" w:fill="auto"/>
          </w:tcPr>
          <w:p w:rsidR="00B61224" w:rsidRDefault="00B61224" w:rsidP="00B61224">
            <w:pPr>
              <w:pStyle w:val="right"/>
              <w:rPr>
                <w:b/>
              </w:rPr>
            </w:pPr>
          </w:p>
        </w:tc>
      </w:tr>
      <w:tr w:rsidR="00B61224" w:rsidTr="00B61224">
        <w:tc>
          <w:tcPr>
            <w:tcW w:w="5760" w:type="dxa"/>
            <w:shd w:val="clear" w:color="auto" w:fill="auto"/>
          </w:tcPr>
          <w:p w:rsidR="00B61224" w:rsidRDefault="00B61224" w:rsidP="00B61224">
            <w:pPr>
              <w:pStyle w:val="l2"/>
            </w:pPr>
            <w:r>
              <w:t>Assets</w:t>
            </w:r>
          </w:p>
        </w:tc>
        <w:tc>
          <w:tcPr>
            <w:tcW w:w="1728" w:type="dxa"/>
            <w:shd w:val="clear" w:color="auto" w:fill="auto"/>
          </w:tcPr>
          <w:p w:rsidR="00B61224" w:rsidRDefault="00B61224" w:rsidP="00B61224">
            <w:pPr>
              <w:pStyle w:val="right"/>
              <w:rPr>
                <w:b/>
              </w:rPr>
            </w:pPr>
          </w:p>
        </w:tc>
        <w:tc>
          <w:tcPr>
            <w:tcW w:w="1728" w:type="dxa"/>
            <w:shd w:val="clear" w:color="auto" w:fill="auto"/>
          </w:tcPr>
          <w:p w:rsidR="00B61224" w:rsidRDefault="00B61224" w:rsidP="00B61224">
            <w:pPr>
              <w:pStyle w:val="right"/>
              <w:rPr>
                <w:b/>
              </w:rPr>
            </w:pPr>
          </w:p>
        </w:tc>
      </w:tr>
      <w:tr w:rsidR="00B61224" w:rsidTr="00B61224">
        <w:tc>
          <w:tcPr>
            <w:tcW w:w="5760" w:type="dxa"/>
            <w:shd w:val="clear" w:color="auto" w:fill="auto"/>
          </w:tcPr>
          <w:p w:rsidR="00B61224" w:rsidRDefault="00B61224" w:rsidP="00B61224">
            <w:pPr>
              <w:pStyle w:val="l3"/>
            </w:pPr>
            <w:r>
              <w:t>Current assets</w:t>
            </w:r>
          </w:p>
        </w:tc>
        <w:tc>
          <w:tcPr>
            <w:tcW w:w="1728" w:type="dxa"/>
            <w:shd w:val="clear" w:color="auto" w:fill="auto"/>
          </w:tcPr>
          <w:p w:rsidR="00B61224" w:rsidRDefault="00B61224" w:rsidP="00B61224">
            <w:pPr>
              <w:pStyle w:val="right"/>
              <w:rPr>
                <w:b/>
              </w:rPr>
            </w:pPr>
          </w:p>
        </w:tc>
        <w:tc>
          <w:tcPr>
            <w:tcW w:w="1728" w:type="dxa"/>
            <w:shd w:val="clear" w:color="auto" w:fill="auto"/>
          </w:tcPr>
          <w:p w:rsidR="00B61224" w:rsidRDefault="00B61224" w:rsidP="00B61224">
            <w:pPr>
              <w:pStyle w:val="right"/>
              <w:rPr>
                <w:b/>
              </w:rPr>
            </w:pPr>
          </w:p>
        </w:tc>
      </w:tr>
      <w:tr w:rsidR="00B61224" w:rsidTr="00B61224">
        <w:tc>
          <w:tcPr>
            <w:tcW w:w="5760" w:type="dxa"/>
            <w:shd w:val="clear" w:color="auto" w:fill="auto"/>
          </w:tcPr>
          <w:p w:rsidR="00B61224" w:rsidRDefault="00B61224" w:rsidP="00B61224">
            <w:pPr>
              <w:pStyle w:val="l4"/>
            </w:pPr>
            <w:r>
              <w:t>Bank accounts and cash</w:t>
            </w:r>
          </w:p>
        </w:tc>
        <w:tc>
          <w:tcPr>
            <w:tcW w:w="1728" w:type="dxa"/>
            <w:shd w:val="clear" w:color="auto" w:fill="auto"/>
          </w:tcPr>
          <w:p w:rsidR="00B61224" w:rsidRDefault="00B61224" w:rsidP="00B61224">
            <w:pPr>
              <w:pStyle w:val="right"/>
              <w:rPr>
                <w:b/>
              </w:rPr>
            </w:pPr>
          </w:p>
        </w:tc>
        <w:tc>
          <w:tcPr>
            <w:tcW w:w="1728" w:type="dxa"/>
            <w:shd w:val="clear" w:color="auto" w:fill="auto"/>
          </w:tcPr>
          <w:p w:rsidR="00B61224" w:rsidRDefault="00B61224" w:rsidP="00B61224">
            <w:pPr>
              <w:pStyle w:val="right"/>
              <w:rPr>
                <w:b/>
              </w:rPr>
            </w:pPr>
          </w:p>
        </w:tc>
      </w:tr>
      <w:tr w:rsidR="00B61224" w:rsidTr="00B61224">
        <w:tc>
          <w:tcPr>
            <w:tcW w:w="5760" w:type="dxa"/>
            <w:shd w:val="clear" w:color="auto" w:fill="auto"/>
          </w:tcPr>
          <w:p w:rsidR="00B61224" w:rsidRDefault="00B61224" w:rsidP="00B61224">
            <w:pPr>
              <w:pStyle w:val="l5"/>
            </w:pPr>
            <w:r>
              <w:t>Society cheque account</w:t>
            </w:r>
          </w:p>
        </w:tc>
        <w:tc>
          <w:tcPr>
            <w:tcW w:w="1728" w:type="dxa"/>
            <w:tcBorders>
              <w:bottom w:val="double" w:sz="4" w:space="0" w:color="auto"/>
            </w:tcBorders>
            <w:shd w:val="clear" w:color="auto" w:fill="auto"/>
          </w:tcPr>
          <w:p w:rsidR="00B61224" w:rsidRDefault="00B61224" w:rsidP="00B61224">
            <w:pPr>
              <w:pStyle w:val="right"/>
            </w:pPr>
            <w:r>
              <w:t>$12805.57</w:t>
            </w:r>
          </w:p>
        </w:tc>
        <w:tc>
          <w:tcPr>
            <w:tcW w:w="1728" w:type="dxa"/>
            <w:tcBorders>
              <w:bottom w:val="double" w:sz="4" w:space="0" w:color="auto"/>
            </w:tcBorders>
            <w:shd w:val="clear" w:color="auto" w:fill="auto"/>
          </w:tcPr>
          <w:p w:rsidR="00B61224" w:rsidRDefault="00B61224" w:rsidP="00B61224">
            <w:pPr>
              <w:pStyle w:val="right"/>
            </w:pPr>
            <w:r>
              <w:t>$13280.13</w:t>
            </w:r>
          </w:p>
        </w:tc>
      </w:tr>
      <w:tr w:rsidR="00B61224" w:rsidTr="00B61224">
        <w:tc>
          <w:tcPr>
            <w:tcW w:w="5760" w:type="dxa"/>
            <w:shd w:val="clear" w:color="auto" w:fill="auto"/>
          </w:tcPr>
          <w:p w:rsidR="00B61224" w:rsidRDefault="00B61224" w:rsidP="00B61224">
            <w:pPr>
              <w:pStyle w:val="l5"/>
            </w:pPr>
            <w:r>
              <w:t>Total bank accounts and cash</w:t>
            </w:r>
          </w:p>
        </w:tc>
        <w:tc>
          <w:tcPr>
            <w:tcW w:w="1728" w:type="dxa"/>
            <w:tcBorders>
              <w:top w:val="double" w:sz="4" w:space="0" w:color="auto"/>
            </w:tcBorders>
            <w:shd w:val="clear" w:color="auto" w:fill="auto"/>
          </w:tcPr>
          <w:p w:rsidR="00B61224" w:rsidRDefault="00B61224" w:rsidP="00B61224">
            <w:pPr>
              <w:pStyle w:val="right"/>
            </w:pPr>
            <w:r>
              <w:t>$12805.57</w:t>
            </w:r>
          </w:p>
        </w:tc>
        <w:tc>
          <w:tcPr>
            <w:tcW w:w="1728" w:type="dxa"/>
            <w:tcBorders>
              <w:top w:val="double" w:sz="4" w:space="0" w:color="auto"/>
            </w:tcBorders>
            <w:shd w:val="clear" w:color="auto" w:fill="auto"/>
          </w:tcPr>
          <w:p w:rsidR="00B61224" w:rsidRDefault="00B61224" w:rsidP="00B61224">
            <w:pPr>
              <w:pStyle w:val="right"/>
            </w:pPr>
            <w:r>
              <w:t>$13280.13</w:t>
            </w:r>
          </w:p>
        </w:tc>
      </w:tr>
      <w:tr w:rsidR="00B61224" w:rsidTr="00B61224">
        <w:tc>
          <w:tcPr>
            <w:tcW w:w="5760" w:type="dxa"/>
            <w:shd w:val="clear" w:color="auto" w:fill="auto"/>
          </w:tcPr>
          <w:p w:rsidR="00B61224" w:rsidRDefault="00B61224" w:rsidP="00B61224">
            <w:pPr>
              <w:pStyle w:val="l4"/>
            </w:pPr>
            <w:r>
              <w:t>Debtors</w:t>
            </w:r>
          </w:p>
        </w:tc>
        <w:tc>
          <w:tcPr>
            <w:tcW w:w="1728" w:type="dxa"/>
            <w:shd w:val="clear" w:color="auto" w:fill="auto"/>
          </w:tcPr>
          <w:p w:rsidR="00B61224" w:rsidRDefault="00B61224" w:rsidP="00B61224">
            <w:pPr>
              <w:pStyle w:val="right"/>
            </w:pPr>
          </w:p>
        </w:tc>
        <w:tc>
          <w:tcPr>
            <w:tcW w:w="1728" w:type="dxa"/>
            <w:shd w:val="clear" w:color="auto" w:fill="auto"/>
          </w:tcPr>
          <w:p w:rsidR="00B61224" w:rsidRDefault="00B61224" w:rsidP="00B61224">
            <w:pPr>
              <w:pStyle w:val="right"/>
            </w:pPr>
          </w:p>
        </w:tc>
      </w:tr>
      <w:tr w:rsidR="00B61224" w:rsidTr="00B61224">
        <w:tc>
          <w:tcPr>
            <w:tcW w:w="5760" w:type="dxa"/>
            <w:shd w:val="clear" w:color="auto" w:fill="auto"/>
          </w:tcPr>
          <w:p w:rsidR="00B61224" w:rsidRDefault="00B61224" w:rsidP="00B61224">
            <w:pPr>
              <w:pStyle w:val="l5"/>
            </w:pPr>
            <w:r>
              <w:t>Total debtors</w:t>
            </w:r>
          </w:p>
        </w:tc>
        <w:tc>
          <w:tcPr>
            <w:tcW w:w="1728" w:type="dxa"/>
            <w:tcBorders>
              <w:bottom w:val="double" w:sz="4" w:space="0" w:color="auto"/>
            </w:tcBorders>
            <w:shd w:val="clear" w:color="auto" w:fill="auto"/>
          </w:tcPr>
          <w:p w:rsidR="00B61224" w:rsidRDefault="00B61224" w:rsidP="00B61224">
            <w:pPr>
              <w:pStyle w:val="right"/>
            </w:pPr>
            <w:r>
              <w:t>$199.84</w:t>
            </w:r>
          </w:p>
        </w:tc>
        <w:tc>
          <w:tcPr>
            <w:tcW w:w="1728" w:type="dxa"/>
            <w:tcBorders>
              <w:bottom w:val="double" w:sz="4" w:space="0" w:color="auto"/>
            </w:tcBorders>
            <w:shd w:val="clear" w:color="auto" w:fill="auto"/>
          </w:tcPr>
          <w:p w:rsidR="00B61224" w:rsidRDefault="00B61224" w:rsidP="00B61224">
            <w:pPr>
              <w:pStyle w:val="right"/>
            </w:pPr>
            <w:r>
              <w:t>$353.86</w:t>
            </w:r>
          </w:p>
        </w:tc>
      </w:tr>
      <w:tr w:rsidR="00B61224" w:rsidTr="00B61224">
        <w:tc>
          <w:tcPr>
            <w:tcW w:w="5760" w:type="dxa"/>
            <w:shd w:val="clear" w:color="auto" w:fill="auto"/>
          </w:tcPr>
          <w:p w:rsidR="00B61224" w:rsidRDefault="00B61224" w:rsidP="00B61224">
            <w:pPr>
              <w:pStyle w:val="l4"/>
            </w:pPr>
            <w:r>
              <w:t>Total current assets</w:t>
            </w:r>
          </w:p>
        </w:tc>
        <w:tc>
          <w:tcPr>
            <w:tcW w:w="1728" w:type="dxa"/>
            <w:tcBorders>
              <w:top w:val="double" w:sz="4" w:space="0" w:color="auto"/>
              <w:bottom w:val="double" w:sz="4" w:space="0" w:color="auto"/>
            </w:tcBorders>
            <w:shd w:val="clear" w:color="auto" w:fill="auto"/>
          </w:tcPr>
          <w:p w:rsidR="00B61224" w:rsidRDefault="00B61224" w:rsidP="00B61224">
            <w:pPr>
              <w:pStyle w:val="right"/>
            </w:pPr>
            <w:r>
              <w:t>$13005.41</w:t>
            </w:r>
          </w:p>
        </w:tc>
        <w:tc>
          <w:tcPr>
            <w:tcW w:w="1728" w:type="dxa"/>
            <w:tcBorders>
              <w:top w:val="double" w:sz="4" w:space="0" w:color="auto"/>
              <w:bottom w:val="double" w:sz="4" w:space="0" w:color="auto"/>
            </w:tcBorders>
            <w:shd w:val="clear" w:color="auto" w:fill="auto"/>
          </w:tcPr>
          <w:p w:rsidR="00B61224" w:rsidRDefault="00B61224" w:rsidP="00B61224">
            <w:pPr>
              <w:pStyle w:val="right"/>
            </w:pPr>
            <w:r>
              <w:t>$13633.99</w:t>
            </w:r>
          </w:p>
        </w:tc>
      </w:tr>
      <w:tr w:rsidR="00B61224" w:rsidTr="00B61224">
        <w:tc>
          <w:tcPr>
            <w:tcW w:w="5760" w:type="dxa"/>
            <w:shd w:val="clear" w:color="auto" w:fill="auto"/>
          </w:tcPr>
          <w:p w:rsidR="00B61224" w:rsidRDefault="00B61224" w:rsidP="00B61224">
            <w:pPr>
              <w:pStyle w:val="l3"/>
            </w:pPr>
            <w:r>
              <w:t>Total assets</w:t>
            </w:r>
          </w:p>
        </w:tc>
        <w:tc>
          <w:tcPr>
            <w:tcW w:w="1728" w:type="dxa"/>
            <w:tcBorders>
              <w:top w:val="double" w:sz="4" w:space="0" w:color="auto"/>
            </w:tcBorders>
            <w:shd w:val="clear" w:color="auto" w:fill="auto"/>
          </w:tcPr>
          <w:p w:rsidR="00B61224" w:rsidRDefault="00B61224" w:rsidP="00B61224">
            <w:pPr>
              <w:pStyle w:val="right"/>
            </w:pPr>
            <w:r>
              <w:t>$13005.41</w:t>
            </w:r>
          </w:p>
        </w:tc>
        <w:tc>
          <w:tcPr>
            <w:tcW w:w="1728" w:type="dxa"/>
            <w:tcBorders>
              <w:top w:val="double" w:sz="4" w:space="0" w:color="auto"/>
            </w:tcBorders>
            <w:shd w:val="clear" w:color="auto" w:fill="auto"/>
          </w:tcPr>
          <w:p w:rsidR="00B61224" w:rsidRDefault="00B61224" w:rsidP="00B61224">
            <w:pPr>
              <w:pStyle w:val="right"/>
            </w:pPr>
            <w:r>
              <w:t>$13633.99</w:t>
            </w:r>
          </w:p>
        </w:tc>
      </w:tr>
      <w:tr w:rsidR="00B61224" w:rsidTr="00B61224">
        <w:tc>
          <w:tcPr>
            <w:tcW w:w="5760" w:type="dxa"/>
            <w:shd w:val="clear" w:color="auto" w:fill="auto"/>
          </w:tcPr>
          <w:p w:rsidR="00B61224" w:rsidRDefault="00B61224" w:rsidP="00B61224">
            <w:pPr>
              <w:pStyle w:val="l2"/>
            </w:pPr>
            <w:r>
              <w:t>Liabilities</w:t>
            </w:r>
          </w:p>
        </w:tc>
        <w:tc>
          <w:tcPr>
            <w:tcW w:w="1728" w:type="dxa"/>
            <w:shd w:val="clear" w:color="auto" w:fill="auto"/>
          </w:tcPr>
          <w:p w:rsidR="00B61224" w:rsidRDefault="00B61224" w:rsidP="00B61224">
            <w:pPr>
              <w:pStyle w:val="right"/>
            </w:pPr>
          </w:p>
        </w:tc>
        <w:tc>
          <w:tcPr>
            <w:tcW w:w="1728" w:type="dxa"/>
            <w:shd w:val="clear" w:color="auto" w:fill="auto"/>
          </w:tcPr>
          <w:p w:rsidR="00B61224" w:rsidRDefault="00B61224" w:rsidP="00B61224">
            <w:pPr>
              <w:pStyle w:val="right"/>
            </w:pPr>
          </w:p>
        </w:tc>
      </w:tr>
      <w:tr w:rsidR="00B61224" w:rsidTr="00B61224">
        <w:tc>
          <w:tcPr>
            <w:tcW w:w="5760" w:type="dxa"/>
            <w:shd w:val="clear" w:color="auto" w:fill="auto"/>
          </w:tcPr>
          <w:p w:rsidR="00B61224" w:rsidRDefault="00B61224" w:rsidP="00B61224">
            <w:pPr>
              <w:pStyle w:val="l3"/>
            </w:pPr>
            <w:r>
              <w:t>Current liabilities</w:t>
            </w:r>
          </w:p>
        </w:tc>
        <w:tc>
          <w:tcPr>
            <w:tcW w:w="1728" w:type="dxa"/>
            <w:shd w:val="clear" w:color="auto" w:fill="auto"/>
          </w:tcPr>
          <w:p w:rsidR="00B61224" w:rsidRDefault="00B61224" w:rsidP="00B61224">
            <w:pPr>
              <w:pStyle w:val="right"/>
            </w:pPr>
          </w:p>
        </w:tc>
        <w:tc>
          <w:tcPr>
            <w:tcW w:w="1728" w:type="dxa"/>
            <w:shd w:val="clear" w:color="auto" w:fill="auto"/>
          </w:tcPr>
          <w:p w:rsidR="00B61224" w:rsidRDefault="00B61224" w:rsidP="00B61224">
            <w:pPr>
              <w:pStyle w:val="right"/>
            </w:pPr>
          </w:p>
        </w:tc>
      </w:tr>
      <w:tr w:rsidR="00B61224" w:rsidTr="00B61224">
        <w:tc>
          <w:tcPr>
            <w:tcW w:w="5760" w:type="dxa"/>
            <w:shd w:val="clear" w:color="auto" w:fill="auto"/>
          </w:tcPr>
          <w:p w:rsidR="00B61224" w:rsidRDefault="00B61224" w:rsidP="00B61224">
            <w:pPr>
              <w:pStyle w:val="l4"/>
            </w:pPr>
            <w:r>
              <w:t>Creditors</w:t>
            </w:r>
          </w:p>
        </w:tc>
        <w:tc>
          <w:tcPr>
            <w:tcW w:w="1728" w:type="dxa"/>
            <w:shd w:val="clear" w:color="auto" w:fill="auto"/>
          </w:tcPr>
          <w:p w:rsidR="00B61224" w:rsidRDefault="00B61224" w:rsidP="00B61224">
            <w:pPr>
              <w:pStyle w:val="right"/>
            </w:pPr>
          </w:p>
        </w:tc>
        <w:tc>
          <w:tcPr>
            <w:tcW w:w="1728" w:type="dxa"/>
            <w:shd w:val="clear" w:color="auto" w:fill="auto"/>
          </w:tcPr>
          <w:p w:rsidR="00B61224" w:rsidRDefault="00B61224" w:rsidP="00B61224">
            <w:pPr>
              <w:pStyle w:val="right"/>
            </w:pPr>
          </w:p>
        </w:tc>
      </w:tr>
      <w:tr w:rsidR="00B61224" w:rsidTr="00B61224">
        <w:tc>
          <w:tcPr>
            <w:tcW w:w="5760" w:type="dxa"/>
            <w:shd w:val="clear" w:color="auto" w:fill="auto"/>
          </w:tcPr>
          <w:p w:rsidR="00B61224" w:rsidRDefault="00B61224" w:rsidP="00B61224">
            <w:pPr>
              <w:pStyle w:val="l5"/>
            </w:pPr>
            <w:r>
              <w:t>Total creditors</w:t>
            </w:r>
          </w:p>
        </w:tc>
        <w:tc>
          <w:tcPr>
            <w:tcW w:w="1728" w:type="dxa"/>
            <w:tcBorders>
              <w:bottom w:val="double" w:sz="4" w:space="0" w:color="auto"/>
            </w:tcBorders>
            <w:shd w:val="clear" w:color="auto" w:fill="auto"/>
          </w:tcPr>
          <w:p w:rsidR="00B61224" w:rsidRDefault="00B61224" w:rsidP="00B61224">
            <w:pPr>
              <w:pStyle w:val="right"/>
            </w:pPr>
            <w:r>
              <w:t>$1332.17</w:t>
            </w:r>
          </w:p>
        </w:tc>
        <w:tc>
          <w:tcPr>
            <w:tcW w:w="1728" w:type="dxa"/>
            <w:tcBorders>
              <w:bottom w:val="double" w:sz="4" w:space="0" w:color="auto"/>
            </w:tcBorders>
            <w:shd w:val="clear" w:color="auto" w:fill="auto"/>
          </w:tcPr>
          <w:p w:rsidR="00B61224" w:rsidRDefault="00B61224" w:rsidP="00B61224">
            <w:pPr>
              <w:pStyle w:val="right"/>
            </w:pPr>
            <w:r>
              <w:t>$2252.72</w:t>
            </w:r>
          </w:p>
        </w:tc>
      </w:tr>
      <w:tr w:rsidR="00B61224" w:rsidTr="00B61224">
        <w:tc>
          <w:tcPr>
            <w:tcW w:w="5760" w:type="dxa"/>
            <w:shd w:val="clear" w:color="auto" w:fill="auto"/>
          </w:tcPr>
          <w:p w:rsidR="00B61224" w:rsidRDefault="00B61224" w:rsidP="00B61224">
            <w:pPr>
              <w:pStyle w:val="l4"/>
            </w:pPr>
            <w:r>
              <w:t>Total current liabilities</w:t>
            </w:r>
          </w:p>
        </w:tc>
        <w:tc>
          <w:tcPr>
            <w:tcW w:w="1728" w:type="dxa"/>
            <w:tcBorders>
              <w:top w:val="double" w:sz="4" w:space="0" w:color="auto"/>
              <w:bottom w:val="double" w:sz="4" w:space="0" w:color="auto"/>
            </w:tcBorders>
            <w:shd w:val="clear" w:color="auto" w:fill="auto"/>
          </w:tcPr>
          <w:p w:rsidR="00B61224" w:rsidRDefault="00B61224" w:rsidP="00B61224">
            <w:pPr>
              <w:pStyle w:val="right"/>
            </w:pPr>
            <w:r>
              <w:t>$1332.17</w:t>
            </w:r>
          </w:p>
        </w:tc>
        <w:tc>
          <w:tcPr>
            <w:tcW w:w="1728" w:type="dxa"/>
            <w:tcBorders>
              <w:top w:val="double" w:sz="4" w:space="0" w:color="auto"/>
              <w:bottom w:val="double" w:sz="4" w:space="0" w:color="auto"/>
            </w:tcBorders>
            <w:shd w:val="clear" w:color="auto" w:fill="auto"/>
          </w:tcPr>
          <w:p w:rsidR="00B61224" w:rsidRDefault="00B61224" w:rsidP="00B61224">
            <w:pPr>
              <w:pStyle w:val="right"/>
            </w:pPr>
            <w:r>
              <w:t>$2252.72</w:t>
            </w:r>
          </w:p>
        </w:tc>
      </w:tr>
      <w:tr w:rsidR="00B61224" w:rsidTr="00B61224">
        <w:tc>
          <w:tcPr>
            <w:tcW w:w="5760" w:type="dxa"/>
            <w:shd w:val="clear" w:color="auto" w:fill="auto"/>
          </w:tcPr>
          <w:p w:rsidR="00B61224" w:rsidRDefault="00B61224" w:rsidP="00B61224">
            <w:pPr>
              <w:pStyle w:val="l3"/>
            </w:pPr>
            <w:r>
              <w:t>Total liabilities</w:t>
            </w:r>
          </w:p>
        </w:tc>
        <w:tc>
          <w:tcPr>
            <w:tcW w:w="1728" w:type="dxa"/>
            <w:tcBorders>
              <w:top w:val="double" w:sz="4" w:space="0" w:color="auto"/>
              <w:bottom w:val="double" w:sz="4" w:space="0" w:color="auto"/>
            </w:tcBorders>
            <w:shd w:val="clear" w:color="auto" w:fill="auto"/>
          </w:tcPr>
          <w:p w:rsidR="00B61224" w:rsidRDefault="00B61224" w:rsidP="00B61224">
            <w:pPr>
              <w:pStyle w:val="right"/>
            </w:pPr>
            <w:r>
              <w:t>$1332.17</w:t>
            </w:r>
          </w:p>
        </w:tc>
        <w:tc>
          <w:tcPr>
            <w:tcW w:w="1728" w:type="dxa"/>
            <w:tcBorders>
              <w:top w:val="double" w:sz="4" w:space="0" w:color="auto"/>
              <w:bottom w:val="double" w:sz="4" w:space="0" w:color="auto"/>
            </w:tcBorders>
            <w:shd w:val="clear" w:color="auto" w:fill="auto"/>
          </w:tcPr>
          <w:p w:rsidR="00B61224" w:rsidRDefault="00B61224" w:rsidP="00B61224">
            <w:pPr>
              <w:pStyle w:val="right"/>
            </w:pPr>
            <w:r>
              <w:t>$2252.72</w:t>
            </w:r>
          </w:p>
        </w:tc>
      </w:tr>
      <w:tr w:rsidR="00B61224" w:rsidTr="00B61224">
        <w:tc>
          <w:tcPr>
            <w:tcW w:w="5760" w:type="dxa"/>
            <w:shd w:val="clear" w:color="auto" w:fill="auto"/>
          </w:tcPr>
          <w:p w:rsidR="00B61224" w:rsidRDefault="00B61224" w:rsidP="00B61224">
            <w:pPr>
              <w:pStyle w:val="l2"/>
            </w:pPr>
            <w:r>
              <w:t>Total Assets less Total Liabilities (total retained earnings)</w:t>
            </w:r>
          </w:p>
        </w:tc>
        <w:tc>
          <w:tcPr>
            <w:tcW w:w="1728" w:type="dxa"/>
            <w:tcBorders>
              <w:top w:val="double" w:sz="4" w:space="0" w:color="auto"/>
            </w:tcBorders>
            <w:shd w:val="clear" w:color="auto" w:fill="auto"/>
          </w:tcPr>
          <w:p w:rsidR="00B61224" w:rsidRDefault="00B61224" w:rsidP="00B61224">
            <w:pPr>
              <w:pStyle w:val="right"/>
            </w:pPr>
            <w:r>
              <w:t>$11673.24</w:t>
            </w:r>
          </w:p>
        </w:tc>
        <w:tc>
          <w:tcPr>
            <w:tcW w:w="1728" w:type="dxa"/>
            <w:tcBorders>
              <w:top w:val="double" w:sz="4" w:space="0" w:color="auto"/>
            </w:tcBorders>
            <w:shd w:val="clear" w:color="auto" w:fill="auto"/>
          </w:tcPr>
          <w:p w:rsidR="00B61224" w:rsidRDefault="00B61224" w:rsidP="00B61224">
            <w:pPr>
              <w:pStyle w:val="right"/>
            </w:pPr>
            <w:r>
              <w:t>$11381.27</w:t>
            </w:r>
          </w:p>
        </w:tc>
      </w:tr>
      <w:tr w:rsidR="00B61224" w:rsidTr="00B61224">
        <w:tc>
          <w:tcPr>
            <w:tcW w:w="5760" w:type="dxa"/>
            <w:shd w:val="clear" w:color="auto" w:fill="auto"/>
          </w:tcPr>
          <w:p w:rsidR="00B61224" w:rsidRDefault="00B61224" w:rsidP="00B61224">
            <w:pPr>
              <w:pStyle w:val="l1"/>
            </w:pPr>
            <w:r>
              <w:t>Funds account</w:t>
            </w:r>
          </w:p>
        </w:tc>
        <w:tc>
          <w:tcPr>
            <w:tcW w:w="1728" w:type="dxa"/>
            <w:shd w:val="clear" w:color="auto" w:fill="auto"/>
          </w:tcPr>
          <w:p w:rsidR="00B61224" w:rsidRDefault="00B61224" w:rsidP="00B61224">
            <w:pPr>
              <w:pStyle w:val="right"/>
            </w:pPr>
          </w:p>
        </w:tc>
        <w:tc>
          <w:tcPr>
            <w:tcW w:w="1728" w:type="dxa"/>
            <w:shd w:val="clear" w:color="auto" w:fill="auto"/>
          </w:tcPr>
          <w:p w:rsidR="00B61224" w:rsidRDefault="00B61224" w:rsidP="00B61224">
            <w:pPr>
              <w:pStyle w:val="right"/>
            </w:pPr>
          </w:p>
        </w:tc>
      </w:tr>
      <w:tr w:rsidR="00B61224" w:rsidTr="00B61224">
        <w:tc>
          <w:tcPr>
            <w:tcW w:w="5760" w:type="dxa"/>
            <w:shd w:val="clear" w:color="auto" w:fill="auto"/>
          </w:tcPr>
          <w:p w:rsidR="00B61224" w:rsidRDefault="00B61224" w:rsidP="00B61224">
            <w:pPr>
              <w:pStyle w:val="l2"/>
            </w:pPr>
            <w:r>
              <w:t>Accumulated surpluses or (deficits)</w:t>
            </w:r>
          </w:p>
        </w:tc>
        <w:tc>
          <w:tcPr>
            <w:tcW w:w="1728" w:type="dxa"/>
            <w:shd w:val="clear" w:color="auto" w:fill="auto"/>
          </w:tcPr>
          <w:p w:rsidR="00B61224" w:rsidRDefault="00B61224" w:rsidP="00B61224">
            <w:pPr>
              <w:pStyle w:val="right"/>
            </w:pPr>
          </w:p>
        </w:tc>
        <w:tc>
          <w:tcPr>
            <w:tcW w:w="1728" w:type="dxa"/>
            <w:shd w:val="clear" w:color="auto" w:fill="auto"/>
          </w:tcPr>
          <w:p w:rsidR="00B61224" w:rsidRDefault="00B61224" w:rsidP="00B61224">
            <w:pPr>
              <w:pStyle w:val="right"/>
            </w:pPr>
          </w:p>
        </w:tc>
      </w:tr>
      <w:tr w:rsidR="00B61224" w:rsidTr="00B61224">
        <w:tc>
          <w:tcPr>
            <w:tcW w:w="5760" w:type="dxa"/>
            <w:shd w:val="clear" w:color="auto" w:fill="auto"/>
          </w:tcPr>
          <w:p w:rsidR="00B61224" w:rsidRDefault="00B61224" w:rsidP="00B61224">
            <w:pPr>
              <w:pStyle w:val="l3"/>
            </w:pPr>
            <w:r>
              <w:t>The St Anne's Trust for the North Shore Sight Impaired Fund, prizes braille reading competitions for children</w:t>
            </w:r>
          </w:p>
        </w:tc>
        <w:tc>
          <w:tcPr>
            <w:tcW w:w="1728" w:type="dxa"/>
            <w:shd w:val="clear" w:color="auto" w:fill="auto"/>
          </w:tcPr>
          <w:p w:rsidR="00B61224" w:rsidRDefault="00B61224" w:rsidP="00B61224">
            <w:pPr>
              <w:pStyle w:val="right"/>
            </w:pPr>
            <w:r>
              <w:t>$2367.33</w:t>
            </w:r>
          </w:p>
        </w:tc>
        <w:tc>
          <w:tcPr>
            <w:tcW w:w="1728" w:type="dxa"/>
            <w:shd w:val="clear" w:color="auto" w:fill="auto"/>
          </w:tcPr>
          <w:p w:rsidR="00B61224" w:rsidRDefault="00B61224" w:rsidP="00B61224">
            <w:pPr>
              <w:pStyle w:val="right"/>
            </w:pPr>
            <w:r>
              <w:t>$3000.00</w:t>
            </w:r>
          </w:p>
        </w:tc>
      </w:tr>
      <w:tr w:rsidR="00B61224" w:rsidTr="00B61224">
        <w:tc>
          <w:tcPr>
            <w:tcW w:w="5760" w:type="dxa"/>
            <w:shd w:val="clear" w:color="auto" w:fill="auto"/>
          </w:tcPr>
          <w:p w:rsidR="00B61224" w:rsidRDefault="00B61224" w:rsidP="00B61224">
            <w:pPr>
              <w:pStyle w:val="l3"/>
            </w:pPr>
            <w:r>
              <w:t>General funds</w:t>
            </w:r>
          </w:p>
        </w:tc>
        <w:tc>
          <w:tcPr>
            <w:tcW w:w="1728" w:type="dxa"/>
            <w:tcBorders>
              <w:bottom w:val="double" w:sz="4" w:space="0" w:color="auto"/>
            </w:tcBorders>
            <w:shd w:val="clear" w:color="auto" w:fill="auto"/>
          </w:tcPr>
          <w:p w:rsidR="00B61224" w:rsidRDefault="00B61224" w:rsidP="00B61224">
            <w:pPr>
              <w:pStyle w:val="right"/>
            </w:pPr>
            <w:r>
              <w:t>$9305.91</w:t>
            </w:r>
          </w:p>
        </w:tc>
        <w:tc>
          <w:tcPr>
            <w:tcW w:w="1728" w:type="dxa"/>
            <w:tcBorders>
              <w:bottom w:val="double" w:sz="4" w:space="0" w:color="auto"/>
            </w:tcBorders>
            <w:shd w:val="clear" w:color="auto" w:fill="auto"/>
          </w:tcPr>
          <w:p w:rsidR="00B61224" w:rsidRDefault="00B61224" w:rsidP="00B61224">
            <w:pPr>
              <w:pStyle w:val="right"/>
            </w:pPr>
            <w:r>
              <w:t>$8381.27</w:t>
            </w:r>
          </w:p>
        </w:tc>
      </w:tr>
      <w:tr w:rsidR="00B61224" w:rsidTr="00B61224">
        <w:tc>
          <w:tcPr>
            <w:tcW w:w="5760" w:type="dxa"/>
            <w:shd w:val="clear" w:color="auto" w:fill="auto"/>
          </w:tcPr>
          <w:p w:rsidR="00B61224" w:rsidRDefault="00B61224" w:rsidP="00B61224">
            <w:pPr>
              <w:pStyle w:val="l3"/>
            </w:pPr>
            <w:r>
              <w:t>Total accumulated surpluses or (deficits)</w:t>
            </w:r>
          </w:p>
        </w:tc>
        <w:tc>
          <w:tcPr>
            <w:tcW w:w="1728" w:type="dxa"/>
            <w:tcBorders>
              <w:top w:val="double" w:sz="4" w:space="0" w:color="auto"/>
              <w:bottom w:val="double" w:sz="4" w:space="0" w:color="auto"/>
            </w:tcBorders>
            <w:shd w:val="clear" w:color="auto" w:fill="auto"/>
          </w:tcPr>
          <w:p w:rsidR="00B61224" w:rsidRDefault="00B61224" w:rsidP="00B61224">
            <w:pPr>
              <w:pStyle w:val="right"/>
            </w:pPr>
            <w:r>
              <w:t>$11673.24</w:t>
            </w:r>
          </w:p>
        </w:tc>
        <w:tc>
          <w:tcPr>
            <w:tcW w:w="1728" w:type="dxa"/>
            <w:tcBorders>
              <w:top w:val="double" w:sz="4" w:space="0" w:color="auto"/>
              <w:bottom w:val="double" w:sz="4" w:space="0" w:color="auto"/>
            </w:tcBorders>
            <w:shd w:val="clear" w:color="auto" w:fill="auto"/>
          </w:tcPr>
          <w:p w:rsidR="00B61224" w:rsidRDefault="00B61224" w:rsidP="00B61224">
            <w:pPr>
              <w:pStyle w:val="right"/>
            </w:pPr>
            <w:r>
              <w:t>$11381.27</w:t>
            </w:r>
          </w:p>
        </w:tc>
      </w:tr>
      <w:tr w:rsidR="00B61224" w:rsidTr="00B61224">
        <w:tc>
          <w:tcPr>
            <w:tcW w:w="5760" w:type="dxa"/>
            <w:shd w:val="clear" w:color="auto" w:fill="auto"/>
          </w:tcPr>
          <w:p w:rsidR="00B61224" w:rsidRDefault="00B61224" w:rsidP="00B61224">
            <w:pPr>
              <w:pStyle w:val="l2"/>
            </w:pPr>
            <w:r>
              <w:t>Total accumulated funds</w:t>
            </w:r>
          </w:p>
        </w:tc>
        <w:tc>
          <w:tcPr>
            <w:tcW w:w="1728" w:type="dxa"/>
            <w:tcBorders>
              <w:top w:val="double" w:sz="4" w:space="0" w:color="auto"/>
            </w:tcBorders>
            <w:shd w:val="clear" w:color="auto" w:fill="auto"/>
          </w:tcPr>
          <w:p w:rsidR="00B61224" w:rsidRDefault="00B61224" w:rsidP="00B61224">
            <w:pPr>
              <w:pStyle w:val="right"/>
            </w:pPr>
            <w:r>
              <w:t>$11673.24</w:t>
            </w:r>
          </w:p>
        </w:tc>
        <w:tc>
          <w:tcPr>
            <w:tcW w:w="1728" w:type="dxa"/>
            <w:tcBorders>
              <w:top w:val="double" w:sz="4" w:space="0" w:color="auto"/>
            </w:tcBorders>
            <w:shd w:val="clear" w:color="auto" w:fill="auto"/>
          </w:tcPr>
          <w:p w:rsidR="00B61224" w:rsidRDefault="00B61224" w:rsidP="00B61224">
            <w:pPr>
              <w:pStyle w:val="right"/>
            </w:pPr>
            <w:r>
              <w:t>$11381.27</w:t>
            </w:r>
          </w:p>
        </w:tc>
      </w:tr>
    </w:tbl>
    <w:p w:rsidR="00B61224" w:rsidRDefault="00B61224" w:rsidP="00B61224">
      <w:pPr>
        <w:sectPr w:rsidR="00B61224" w:rsidSect="00B61224">
          <w:pgSz w:w="11909" w:h="16834" w:code="9"/>
          <w:pgMar w:top="720" w:right="1440" w:bottom="720" w:left="1440" w:header="720" w:footer="720" w:gutter="0"/>
          <w:cols w:space="720"/>
          <w:docGrid w:linePitch="360"/>
        </w:sectPr>
      </w:pPr>
    </w:p>
    <w:p w:rsidR="00B61224" w:rsidRDefault="00B61224" w:rsidP="00B61224">
      <w:pPr>
        <w:pStyle w:val="Title"/>
      </w:pPr>
      <w:r>
        <w:lastRenderedPageBreak/>
        <w:t>The Braille Authority of New Zealand</w:t>
      </w:r>
    </w:p>
    <w:p w:rsidR="00B61224" w:rsidRDefault="00B61224" w:rsidP="00B61224">
      <w:pPr>
        <w:pStyle w:val="Title"/>
      </w:pPr>
      <w:r>
        <w:t>Aotearoa Trust (BANZAT)</w:t>
      </w:r>
    </w:p>
    <w:p w:rsidR="00B61224" w:rsidRDefault="00B61224" w:rsidP="00B61224">
      <w:pPr>
        <w:pStyle w:val="HeadingBlank"/>
      </w:pPr>
    </w:p>
    <w:p w:rsidR="00B61224" w:rsidRDefault="00B61224" w:rsidP="00B61224">
      <w:pPr>
        <w:pStyle w:val="Heading2"/>
      </w:pPr>
      <w:bookmarkStart w:id="6" w:name="_Toc18497722"/>
      <w:r>
        <w:t>Statement of Cash Flows</w:t>
      </w:r>
      <w:bookmarkEnd w:id="6"/>
    </w:p>
    <w:p w:rsidR="00B61224" w:rsidRDefault="00B61224" w:rsidP="00B61224">
      <w:pPr>
        <w:pStyle w:val="HeadingBlank"/>
      </w:pPr>
    </w:p>
    <w:p w:rsidR="00B61224" w:rsidRDefault="00B61224" w:rsidP="00B61224">
      <w:r>
        <w:rPr>
          <w:b/>
        </w:rPr>
        <w:t>for the Year Ended 30 June 2019</w:t>
      </w:r>
    </w:p>
    <w:p w:rsidR="00B61224" w:rsidRDefault="00B61224" w:rsidP="00B61224"/>
    <w:p w:rsidR="00B61224" w:rsidRDefault="00B61224" w:rsidP="00B61224"/>
    <w:tbl>
      <w:tblPr>
        <w:tblStyle w:val="TableGrid"/>
        <w:tblW w:w="0" w:type="auto"/>
        <w:tblLayout w:type="fixed"/>
        <w:tblCellMar>
          <w:top w:w="60" w:type="dxa"/>
          <w:left w:w="60" w:type="dxa"/>
          <w:bottom w:w="60" w:type="dxa"/>
          <w:right w:w="60" w:type="dxa"/>
        </w:tblCellMar>
        <w:tblLook w:val="0600"/>
      </w:tblPr>
      <w:tblGrid>
        <w:gridCol w:w="5760"/>
        <w:gridCol w:w="1728"/>
        <w:gridCol w:w="1728"/>
      </w:tblGrid>
      <w:tr w:rsidR="00B61224" w:rsidTr="00B61224">
        <w:tc>
          <w:tcPr>
            <w:tcW w:w="5760" w:type="dxa"/>
            <w:shd w:val="clear" w:color="auto" w:fill="auto"/>
          </w:tcPr>
          <w:p w:rsidR="00B61224" w:rsidRPr="00B61224" w:rsidRDefault="00B61224" w:rsidP="00B61224">
            <w:r>
              <w:rPr>
                <w:b/>
              </w:rPr>
              <w:t>Note</w:t>
            </w:r>
          </w:p>
        </w:tc>
        <w:tc>
          <w:tcPr>
            <w:tcW w:w="1728" w:type="dxa"/>
            <w:shd w:val="clear" w:color="auto" w:fill="auto"/>
          </w:tcPr>
          <w:p w:rsidR="00B61224" w:rsidRPr="00B61224" w:rsidRDefault="00B61224" w:rsidP="00B61224">
            <w:pPr>
              <w:pStyle w:val="right"/>
            </w:pPr>
            <w:r>
              <w:rPr>
                <w:b/>
              </w:rPr>
              <w:t>This Year</w:t>
            </w:r>
          </w:p>
        </w:tc>
        <w:tc>
          <w:tcPr>
            <w:tcW w:w="1728" w:type="dxa"/>
            <w:shd w:val="clear" w:color="auto" w:fill="auto"/>
          </w:tcPr>
          <w:p w:rsidR="00B61224" w:rsidRPr="00B61224" w:rsidRDefault="00B61224" w:rsidP="00B61224">
            <w:pPr>
              <w:pStyle w:val="right"/>
            </w:pPr>
            <w:r>
              <w:rPr>
                <w:b/>
              </w:rPr>
              <w:t>Last Year</w:t>
            </w:r>
          </w:p>
        </w:tc>
      </w:tr>
      <w:tr w:rsidR="00B61224" w:rsidTr="00B61224">
        <w:tc>
          <w:tcPr>
            <w:tcW w:w="5760" w:type="dxa"/>
            <w:shd w:val="clear" w:color="auto" w:fill="auto"/>
          </w:tcPr>
          <w:p w:rsidR="00B61224" w:rsidRDefault="00B61224" w:rsidP="00B61224">
            <w:pPr>
              <w:pStyle w:val="l1"/>
            </w:pPr>
            <w:r>
              <w:t>Cash flows from operating activities</w:t>
            </w:r>
          </w:p>
        </w:tc>
        <w:tc>
          <w:tcPr>
            <w:tcW w:w="1728" w:type="dxa"/>
            <w:shd w:val="clear" w:color="auto" w:fill="auto"/>
          </w:tcPr>
          <w:p w:rsidR="00B61224" w:rsidRDefault="00B61224" w:rsidP="00B61224">
            <w:pPr>
              <w:pStyle w:val="right"/>
              <w:rPr>
                <w:b/>
              </w:rPr>
            </w:pPr>
          </w:p>
        </w:tc>
        <w:tc>
          <w:tcPr>
            <w:tcW w:w="1728" w:type="dxa"/>
            <w:shd w:val="clear" w:color="auto" w:fill="auto"/>
          </w:tcPr>
          <w:p w:rsidR="00B61224" w:rsidRDefault="00B61224" w:rsidP="00B61224">
            <w:pPr>
              <w:pStyle w:val="right"/>
              <w:rPr>
                <w:b/>
              </w:rPr>
            </w:pPr>
          </w:p>
        </w:tc>
      </w:tr>
      <w:tr w:rsidR="00B61224" w:rsidTr="00B61224">
        <w:tc>
          <w:tcPr>
            <w:tcW w:w="5760" w:type="dxa"/>
            <w:shd w:val="clear" w:color="auto" w:fill="auto"/>
          </w:tcPr>
          <w:p w:rsidR="00B61224" w:rsidRDefault="00B61224" w:rsidP="00B61224">
            <w:pPr>
              <w:pStyle w:val="l2"/>
            </w:pPr>
            <w:r>
              <w:t>Cash was received from</w:t>
            </w:r>
          </w:p>
        </w:tc>
        <w:tc>
          <w:tcPr>
            <w:tcW w:w="1728" w:type="dxa"/>
            <w:shd w:val="clear" w:color="auto" w:fill="auto"/>
          </w:tcPr>
          <w:p w:rsidR="00B61224" w:rsidRDefault="00B61224" w:rsidP="00B61224">
            <w:pPr>
              <w:pStyle w:val="right"/>
              <w:rPr>
                <w:b/>
              </w:rPr>
            </w:pPr>
          </w:p>
        </w:tc>
        <w:tc>
          <w:tcPr>
            <w:tcW w:w="1728" w:type="dxa"/>
            <w:shd w:val="clear" w:color="auto" w:fill="auto"/>
          </w:tcPr>
          <w:p w:rsidR="00B61224" w:rsidRDefault="00B61224" w:rsidP="00B61224">
            <w:pPr>
              <w:pStyle w:val="right"/>
              <w:rPr>
                <w:b/>
              </w:rPr>
            </w:pPr>
          </w:p>
        </w:tc>
      </w:tr>
      <w:tr w:rsidR="00B61224" w:rsidTr="00B61224">
        <w:tc>
          <w:tcPr>
            <w:tcW w:w="5760" w:type="dxa"/>
            <w:shd w:val="clear" w:color="auto" w:fill="auto"/>
          </w:tcPr>
          <w:p w:rsidR="00B61224" w:rsidRDefault="00B61224" w:rsidP="00B61224">
            <w:pPr>
              <w:pStyle w:val="l3"/>
            </w:pPr>
            <w:r>
              <w:t>Donations, fundraising and other similar receipts</w:t>
            </w:r>
          </w:p>
        </w:tc>
        <w:tc>
          <w:tcPr>
            <w:tcW w:w="1728" w:type="dxa"/>
            <w:shd w:val="clear" w:color="auto" w:fill="auto"/>
          </w:tcPr>
          <w:p w:rsidR="00B61224" w:rsidRDefault="00B61224" w:rsidP="00B61224">
            <w:pPr>
              <w:pStyle w:val="right"/>
              <w:rPr>
                <w:b/>
              </w:rPr>
            </w:pPr>
          </w:p>
        </w:tc>
        <w:tc>
          <w:tcPr>
            <w:tcW w:w="1728" w:type="dxa"/>
            <w:shd w:val="clear" w:color="auto" w:fill="auto"/>
          </w:tcPr>
          <w:p w:rsidR="00B61224" w:rsidRDefault="00B61224" w:rsidP="00B61224">
            <w:pPr>
              <w:pStyle w:val="right"/>
              <w:rPr>
                <w:b/>
              </w:rPr>
            </w:pPr>
          </w:p>
        </w:tc>
      </w:tr>
      <w:tr w:rsidR="00B61224" w:rsidTr="00B61224">
        <w:tc>
          <w:tcPr>
            <w:tcW w:w="5760" w:type="dxa"/>
            <w:shd w:val="clear" w:color="auto" w:fill="auto"/>
          </w:tcPr>
          <w:p w:rsidR="00B61224" w:rsidRDefault="00B61224" w:rsidP="00B61224">
            <w:pPr>
              <w:pStyle w:val="l4"/>
            </w:pPr>
            <w:r>
              <w:t>Total donations, fundraising and other similar receipts</w:t>
            </w:r>
          </w:p>
        </w:tc>
        <w:tc>
          <w:tcPr>
            <w:tcW w:w="1728" w:type="dxa"/>
            <w:shd w:val="clear" w:color="auto" w:fill="auto"/>
          </w:tcPr>
          <w:p w:rsidR="00B61224" w:rsidRDefault="00B61224" w:rsidP="00B61224">
            <w:pPr>
              <w:pStyle w:val="right"/>
            </w:pPr>
            <w:r>
              <w:t>$8300.00</w:t>
            </w:r>
          </w:p>
        </w:tc>
        <w:tc>
          <w:tcPr>
            <w:tcW w:w="1728" w:type="dxa"/>
            <w:shd w:val="clear" w:color="auto" w:fill="auto"/>
          </w:tcPr>
          <w:p w:rsidR="00B61224" w:rsidRDefault="00B61224" w:rsidP="00B61224">
            <w:pPr>
              <w:pStyle w:val="right"/>
            </w:pPr>
            <w:r>
              <w:t>$0.00</w:t>
            </w:r>
          </w:p>
        </w:tc>
      </w:tr>
      <w:tr w:rsidR="00B61224" w:rsidTr="00B61224">
        <w:tc>
          <w:tcPr>
            <w:tcW w:w="5760" w:type="dxa"/>
            <w:shd w:val="clear" w:color="auto" w:fill="auto"/>
          </w:tcPr>
          <w:p w:rsidR="00B61224" w:rsidRDefault="00B61224" w:rsidP="00B61224">
            <w:pPr>
              <w:pStyle w:val="l3"/>
            </w:pPr>
            <w:r>
              <w:t>Receipts from providing goods or services</w:t>
            </w:r>
          </w:p>
        </w:tc>
        <w:tc>
          <w:tcPr>
            <w:tcW w:w="1728" w:type="dxa"/>
            <w:shd w:val="clear" w:color="auto" w:fill="auto"/>
          </w:tcPr>
          <w:p w:rsidR="00B61224" w:rsidRDefault="00B61224" w:rsidP="00B61224">
            <w:pPr>
              <w:pStyle w:val="right"/>
            </w:pPr>
          </w:p>
        </w:tc>
        <w:tc>
          <w:tcPr>
            <w:tcW w:w="1728" w:type="dxa"/>
            <w:shd w:val="clear" w:color="auto" w:fill="auto"/>
          </w:tcPr>
          <w:p w:rsidR="00B61224" w:rsidRDefault="00B61224" w:rsidP="00B61224">
            <w:pPr>
              <w:pStyle w:val="right"/>
            </w:pPr>
          </w:p>
        </w:tc>
      </w:tr>
      <w:tr w:rsidR="00B61224" w:rsidTr="00B61224">
        <w:tc>
          <w:tcPr>
            <w:tcW w:w="5760" w:type="dxa"/>
            <w:shd w:val="clear" w:color="auto" w:fill="auto"/>
          </w:tcPr>
          <w:p w:rsidR="00B61224" w:rsidRDefault="00B61224" w:rsidP="00B61224">
            <w:pPr>
              <w:pStyle w:val="l4"/>
            </w:pPr>
            <w:r>
              <w:t>Total receipts from providing goods or services</w:t>
            </w:r>
          </w:p>
        </w:tc>
        <w:tc>
          <w:tcPr>
            <w:tcW w:w="1728" w:type="dxa"/>
            <w:shd w:val="clear" w:color="auto" w:fill="auto"/>
          </w:tcPr>
          <w:p w:rsidR="00B61224" w:rsidRDefault="00B61224" w:rsidP="00B61224">
            <w:pPr>
              <w:pStyle w:val="right"/>
            </w:pPr>
            <w:r>
              <w:t>$1907.11</w:t>
            </w:r>
          </w:p>
        </w:tc>
        <w:tc>
          <w:tcPr>
            <w:tcW w:w="1728" w:type="dxa"/>
            <w:shd w:val="clear" w:color="auto" w:fill="auto"/>
          </w:tcPr>
          <w:p w:rsidR="00B61224" w:rsidRDefault="00B61224" w:rsidP="00B61224">
            <w:pPr>
              <w:pStyle w:val="right"/>
            </w:pPr>
            <w:r>
              <w:t>$10037.74</w:t>
            </w:r>
          </w:p>
        </w:tc>
      </w:tr>
      <w:tr w:rsidR="00B61224" w:rsidTr="00B61224">
        <w:tc>
          <w:tcPr>
            <w:tcW w:w="5760" w:type="dxa"/>
            <w:shd w:val="clear" w:color="auto" w:fill="auto"/>
          </w:tcPr>
          <w:p w:rsidR="00B61224" w:rsidRDefault="00B61224" w:rsidP="00B61224">
            <w:pPr>
              <w:pStyle w:val="l3"/>
            </w:pPr>
            <w:r>
              <w:t>Interest, dividends and other investment receipts</w:t>
            </w:r>
          </w:p>
        </w:tc>
        <w:tc>
          <w:tcPr>
            <w:tcW w:w="1728" w:type="dxa"/>
            <w:shd w:val="clear" w:color="auto" w:fill="auto"/>
          </w:tcPr>
          <w:p w:rsidR="00B61224" w:rsidRDefault="00B61224" w:rsidP="00B61224">
            <w:pPr>
              <w:pStyle w:val="right"/>
            </w:pPr>
          </w:p>
        </w:tc>
        <w:tc>
          <w:tcPr>
            <w:tcW w:w="1728" w:type="dxa"/>
            <w:shd w:val="clear" w:color="auto" w:fill="auto"/>
          </w:tcPr>
          <w:p w:rsidR="00B61224" w:rsidRDefault="00B61224" w:rsidP="00B61224">
            <w:pPr>
              <w:pStyle w:val="right"/>
            </w:pPr>
          </w:p>
        </w:tc>
      </w:tr>
      <w:tr w:rsidR="00B61224" w:rsidTr="00B61224">
        <w:tc>
          <w:tcPr>
            <w:tcW w:w="5760" w:type="dxa"/>
            <w:shd w:val="clear" w:color="auto" w:fill="auto"/>
          </w:tcPr>
          <w:p w:rsidR="00B61224" w:rsidRDefault="00B61224" w:rsidP="00B61224">
            <w:pPr>
              <w:pStyle w:val="l4"/>
            </w:pPr>
            <w:r>
              <w:t>Total interest, dividends and other investment receipts</w:t>
            </w:r>
          </w:p>
        </w:tc>
        <w:tc>
          <w:tcPr>
            <w:tcW w:w="1728" w:type="dxa"/>
            <w:tcBorders>
              <w:bottom w:val="double" w:sz="4" w:space="0" w:color="auto"/>
            </w:tcBorders>
            <w:shd w:val="clear" w:color="auto" w:fill="auto"/>
          </w:tcPr>
          <w:p w:rsidR="00B61224" w:rsidRDefault="00B61224" w:rsidP="00B61224">
            <w:pPr>
              <w:pStyle w:val="right"/>
            </w:pPr>
            <w:r>
              <w:t>$0.34</w:t>
            </w:r>
          </w:p>
        </w:tc>
        <w:tc>
          <w:tcPr>
            <w:tcW w:w="1728" w:type="dxa"/>
            <w:tcBorders>
              <w:bottom w:val="double" w:sz="4" w:space="0" w:color="auto"/>
            </w:tcBorders>
            <w:shd w:val="clear" w:color="auto" w:fill="auto"/>
          </w:tcPr>
          <w:p w:rsidR="00B61224" w:rsidRDefault="00B61224" w:rsidP="00B61224">
            <w:pPr>
              <w:pStyle w:val="right"/>
            </w:pPr>
            <w:r>
              <w:t>$0.01</w:t>
            </w:r>
          </w:p>
        </w:tc>
      </w:tr>
      <w:tr w:rsidR="00B61224" w:rsidTr="00B61224">
        <w:tc>
          <w:tcPr>
            <w:tcW w:w="5760" w:type="dxa"/>
            <w:shd w:val="clear" w:color="auto" w:fill="auto"/>
          </w:tcPr>
          <w:p w:rsidR="00B61224" w:rsidRDefault="00B61224" w:rsidP="00B61224">
            <w:pPr>
              <w:pStyle w:val="l3"/>
            </w:pPr>
            <w:r>
              <w:t>Total cash received from operating activities</w:t>
            </w:r>
          </w:p>
        </w:tc>
        <w:tc>
          <w:tcPr>
            <w:tcW w:w="1728" w:type="dxa"/>
            <w:tcBorders>
              <w:top w:val="double" w:sz="4" w:space="0" w:color="auto"/>
            </w:tcBorders>
            <w:shd w:val="clear" w:color="auto" w:fill="auto"/>
          </w:tcPr>
          <w:p w:rsidR="00B61224" w:rsidRDefault="00B61224" w:rsidP="00B61224">
            <w:pPr>
              <w:pStyle w:val="right"/>
            </w:pPr>
            <w:r>
              <w:t>$10207.45</w:t>
            </w:r>
          </w:p>
        </w:tc>
        <w:tc>
          <w:tcPr>
            <w:tcW w:w="1728" w:type="dxa"/>
            <w:tcBorders>
              <w:top w:val="double" w:sz="4" w:space="0" w:color="auto"/>
            </w:tcBorders>
            <w:shd w:val="clear" w:color="auto" w:fill="auto"/>
          </w:tcPr>
          <w:p w:rsidR="00B61224" w:rsidRDefault="00B61224" w:rsidP="00B61224">
            <w:pPr>
              <w:pStyle w:val="right"/>
            </w:pPr>
            <w:r>
              <w:t>$10037.75</w:t>
            </w:r>
          </w:p>
        </w:tc>
      </w:tr>
      <w:tr w:rsidR="00B61224" w:rsidTr="00B61224">
        <w:tc>
          <w:tcPr>
            <w:tcW w:w="5760" w:type="dxa"/>
            <w:shd w:val="clear" w:color="auto" w:fill="auto"/>
          </w:tcPr>
          <w:p w:rsidR="00B61224" w:rsidRDefault="00B61224" w:rsidP="00B61224">
            <w:pPr>
              <w:pStyle w:val="l2"/>
            </w:pPr>
            <w:r>
              <w:t>Cash was applied to</w:t>
            </w:r>
          </w:p>
        </w:tc>
        <w:tc>
          <w:tcPr>
            <w:tcW w:w="1728" w:type="dxa"/>
            <w:shd w:val="clear" w:color="auto" w:fill="auto"/>
          </w:tcPr>
          <w:p w:rsidR="00B61224" w:rsidRDefault="00B61224" w:rsidP="00B61224">
            <w:pPr>
              <w:pStyle w:val="right"/>
            </w:pPr>
          </w:p>
        </w:tc>
        <w:tc>
          <w:tcPr>
            <w:tcW w:w="1728" w:type="dxa"/>
            <w:shd w:val="clear" w:color="auto" w:fill="auto"/>
          </w:tcPr>
          <w:p w:rsidR="00B61224" w:rsidRDefault="00B61224" w:rsidP="00B61224">
            <w:pPr>
              <w:pStyle w:val="right"/>
            </w:pPr>
          </w:p>
        </w:tc>
      </w:tr>
      <w:tr w:rsidR="00B61224" w:rsidTr="00B61224">
        <w:tc>
          <w:tcPr>
            <w:tcW w:w="5760" w:type="dxa"/>
            <w:shd w:val="clear" w:color="auto" w:fill="auto"/>
          </w:tcPr>
          <w:p w:rsidR="00B61224" w:rsidRDefault="00B61224" w:rsidP="00B61224">
            <w:pPr>
              <w:pStyle w:val="l3"/>
            </w:pPr>
            <w:r>
              <w:t>Payments to suppliers</w:t>
            </w:r>
          </w:p>
        </w:tc>
        <w:tc>
          <w:tcPr>
            <w:tcW w:w="1728" w:type="dxa"/>
            <w:shd w:val="clear" w:color="auto" w:fill="auto"/>
          </w:tcPr>
          <w:p w:rsidR="00B61224" w:rsidRDefault="00B61224" w:rsidP="00B61224">
            <w:pPr>
              <w:pStyle w:val="right"/>
            </w:pPr>
          </w:p>
        </w:tc>
        <w:tc>
          <w:tcPr>
            <w:tcW w:w="1728" w:type="dxa"/>
            <w:shd w:val="clear" w:color="auto" w:fill="auto"/>
          </w:tcPr>
          <w:p w:rsidR="00B61224" w:rsidRDefault="00B61224" w:rsidP="00B61224">
            <w:pPr>
              <w:pStyle w:val="right"/>
            </w:pPr>
          </w:p>
        </w:tc>
      </w:tr>
      <w:tr w:rsidR="00B61224" w:rsidTr="00B61224">
        <w:tc>
          <w:tcPr>
            <w:tcW w:w="5760" w:type="dxa"/>
            <w:shd w:val="clear" w:color="auto" w:fill="auto"/>
          </w:tcPr>
          <w:p w:rsidR="00B61224" w:rsidRDefault="00B61224" w:rsidP="00B61224">
            <w:pPr>
              <w:pStyle w:val="l4"/>
            </w:pPr>
            <w:r>
              <w:t>Total payments to suppliers</w:t>
            </w:r>
          </w:p>
        </w:tc>
        <w:tc>
          <w:tcPr>
            <w:tcW w:w="1728" w:type="dxa"/>
            <w:tcBorders>
              <w:bottom w:val="double" w:sz="4" w:space="0" w:color="auto"/>
            </w:tcBorders>
            <w:shd w:val="clear" w:color="auto" w:fill="auto"/>
          </w:tcPr>
          <w:p w:rsidR="00B61224" w:rsidRDefault="00B61224" w:rsidP="00B61224">
            <w:pPr>
              <w:pStyle w:val="right"/>
            </w:pPr>
            <w:r>
              <w:t>$10682.01</w:t>
            </w:r>
          </w:p>
        </w:tc>
        <w:tc>
          <w:tcPr>
            <w:tcW w:w="1728" w:type="dxa"/>
            <w:tcBorders>
              <w:bottom w:val="double" w:sz="4" w:space="0" w:color="auto"/>
            </w:tcBorders>
            <w:shd w:val="clear" w:color="auto" w:fill="auto"/>
          </w:tcPr>
          <w:p w:rsidR="00B61224" w:rsidRDefault="00B61224" w:rsidP="00B61224">
            <w:pPr>
              <w:pStyle w:val="right"/>
            </w:pPr>
            <w:r>
              <w:t>$10332.40</w:t>
            </w:r>
          </w:p>
        </w:tc>
      </w:tr>
      <w:tr w:rsidR="00B61224" w:rsidTr="00B61224">
        <w:tc>
          <w:tcPr>
            <w:tcW w:w="5760" w:type="dxa"/>
            <w:shd w:val="clear" w:color="auto" w:fill="auto"/>
          </w:tcPr>
          <w:p w:rsidR="00B61224" w:rsidRDefault="00B61224" w:rsidP="00B61224">
            <w:pPr>
              <w:pStyle w:val="l3"/>
            </w:pPr>
            <w:r>
              <w:t>Total cash applied to operating activities</w:t>
            </w:r>
          </w:p>
        </w:tc>
        <w:tc>
          <w:tcPr>
            <w:tcW w:w="1728" w:type="dxa"/>
            <w:tcBorders>
              <w:top w:val="double" w:sz="4" w:space="0" w:color="auto"/>
              <w:bottom w:val="double" w:sz="4" w:space="0" w:color="auto"/>
            </w:tcBorders>
            <w:shd w:val="clear" w:color="auto" w:fill="auto"/>
          </w:tcPr>
          <w:p w:rsidR="00B61224" w:rsidRDefault="00B61224" w:rsidP="00B61224">
            <w:pPr>
              <w:pStyle w:val="right"/>
            </w:pPr>
            <w:r>
              <w:t>$10682.01</w:t>
            </w:r>
          </w:p>
        </w:tc>
        <w:tc>
          <w:tcPr>
            <w:tcW w:w="1728" w:type="dxa"/>
            <w:tcBorders>
              <w:top w:val="double" w:sz="4" w:space="0" w:color="auto"/>
              <w:bottom w:val="double" w:sz="4" w:space="0" w:color="auto"/>
            </w:tcBorders>
            <w:shd w:val="clear" w:color="auto" w:fill="auto"/>
          </w:tcPr>
          <w:p w:rsidR="00B61224" w:rsidRDefault="00B61224" w:rsidP="00B61224">
            <w:pPr>
              <w:pStyle w:val="right"/>
            </w:pPr>
            <w:r>
              <w:t>$10332.40</w:t>
            </w:r>
          </w:p>
        </w:tc>
      </w:tr>
      <w:tr w:rsidR="00B61224" w:rsidTr="00B61224">
        <w:tc>
          <w:tcPr>
            <w:tcW w:w="5760" w:type="dxa"/>
            <w:shd w:val="clear" w:color="auto" w:fill="auto"/>
          </w:tcPr>
          <w:p w:rsidR="00B61224" w:rsidRDefault="00B61224" w:rsidP="00B61224">
            <w:pPr>
              <w:pStyle w:val="l2"/>
            </w:pPr>
            <w:r>
              <w:t>Net cash flows from operating activities</w:t>
            </w:r>
          </w:p>
        </w:tc>
        <w:tc>
          <w:tcPr>
            <w:tcW w:w="1728" w:type="dxa"/>
            <w:tcBorders>
              <w:top w:val="double" w:sz="4" w:space="0" w:color="auto"/>
            </w:tcBorders>
            <w:shd w:val="clear" w:color="auto" w:fill="auto"/>
          </w:tcPr>
          <w:p w:rsidR="00B61224" w:rsidRDefault="00B61224" w:rsidP="00B61224">
            <w:pPr>
              <w:pStyle w:val="right"/>
            </w:pPr>
            <w:r>
              <w:t>($-474.56)</w:t>
            </w:r>
          </w:p>
        </w:tc>
        <w:tc>
          <w:tcPr>
            <w:tcW w:w="1728" w:type="dxa"/>
            <w:tcBorders>
              <w:top w:val="double" w:sz="4" w:space="0" w:color="auto"/>
            </w:tcBorders>
            <w:shd w:val="clear" w:color="auto" w:fill="auto"/>
          </w:tcPr>
          <w:p w:rsidR="00B61224" w:rsidRDefault="00B61224" w:rsidP="00B61224">
            <w:pPr>
              <w:pStyle w:val="right"/>
            </w:pPr>
            <w:r>
              <w:t>($-294.65)</w:t>
            </w:r>
          </w:p>
        </w:tc>
      </w:tr>
      <w:tr w:rsidR="00B61224" w:rsidTr="00B61224">
        <w:tc>
          <w:tcPr>
            <w:tcW w:w="5760" w:type="dxa"/>
            <w:shd w:val="clear" w:color="auto" w:fill="auto"/>
          </w:tcPr>
          <w:p w:rsidR="00B61224" w:rsidRDefault="00B61224" w:rsidP="00B61224">
            <w:pPr>
              <w:pStyle w:val="l1"/>
            </w:pPr>
            <w:r>
              <w:t>OPENING CASH</w:t>
            </w:r>
          </w:p>
        </w:tc>
        <w:tc>
          <w:tcPr>
            <w:tcW w:w="1728" w:type="dxa"/>
            <w:shd w:val="clear" w:color="auto" w:fill="auto"/>
          </w:tcPr>
          <w:p w:rsidR="00B61224" w:rsidRDefault="00B61224" w:rsidP="00B61224">
            <w:pPr>
              <w:pStyle w:val="right"/>
            </w:pPr>
            <w:r>
              <w:t>($-294.65)</w:t>
            </w:r>
          </w:p>
        </w:tc>
        <w:tc>
          <w:tcPr>
            <w:tcW w:w="1728" w:type="dxa"/>
            <w:shd w:val="clear" w:color="auto" w:fill="auto"/>
          </w:tcPr>
          <w:p w:rsidR="00B61224" w:rsidRDefault="00B61224" w:rsidP="00B61224">
            <w:pPr>
              <w:pStyle w:val="right"/>
            </w:pPr>
            <w:r>
              <w:t>$0.00</w:t>
            </w:r>
          </w:p>
        </w:tc>
      </w:tr>
      <w:tr w:rsidR="00B61224" w:rsidTr="00B61224">
        <w:tc>
          <w:tcPr>
            <w:tcW w:w="5760" w:type="dxa"/>
            <w:shd w:val="clear" w:color="auto" w:fill="auto"/>
          </w:tcPr>
          <w:p w:rsidR="00B61224" w:rsidRDefault="00B61224" w:rsidP="00B61224">
            <w:pPr>
              <w:pStyle w:val="l1"/>
            </w:pPr>
            <w:r>
              <w:t>LESS CASH DECREASE FOR THE YEAR</w:t>
            </w:r>
          </w:p>
        </w:tc>
        <w:tc>
          <w:tcPr>
            <w:tcW w:w="1728" w:type="dxa"/>
            <w:tcBorders>
              <w:bottom w:val="double" w:sz="4" w:space="0" w:color="auto"/>
            </w:tcBorders>
            <w:shd w:val="clear" w:color="auto" w:fill="auto"/>
          </w:tcPr>
          <w:p w:rsidR="00B61224" w:rsidRDefault="00B61224" w:rsidP="00B61224">
            <w:pPr>
              <w:pStyle w:val="right"/>
            </w:pPr>
            <w:r>
              <w:t>$179.91</w:t>
            </w:r>
          </w:p>
        </w:tc>
        <w:tc>
          <w:tcPr>
            <w:tcW w:w="1728" w:type="dxa"/>
            <w:tcBorders>
              <w:bottom w:val="double" w:sz="4" w:space="0" w:color="auto"/>
            </w:tcBorders>
            <w:shd w:val="clear" w:color="auto" w:fill="auto"/>
          </w:tcPr>
          <w:p w:rsidR="00B61224" w:rsidRDefault="00B61224" w:rsidP="00B61224">
            <w:pPr>
              <w:pStyle w:val="right"/>
            </w:pPr>
            <w:r>
              <w:t>$294.65</w:t>
            </w:r>
          </w:p>
        </w:tc>
      </w:tr>
      <w:tr w:rsidR="00B61224" w:rsidTr="00B61224">
        <w:tc>
          <w:tcPr>
            <w:tcW w:w="5760" w:type="dxa"/>
            <w:shd w:val="clear" w:color="auto" w:fill="auto"/>
          </w:tcPr>
          <w:p w:rsidR="00B61224" w:rsidRDefault="00B61224" w:rsidP="00B61224">
            <w:pPr>
              <w:pStyle w:val="l1"/>
            </w:pPr>
            <w:r>
              <w:t>Net increase/decrease in cash</w:t>
            </w:r>
          </w:p>
        </w:tc>
        <w:tc>
          <w:tcPr>
            <w:tcW w:w="1728" w:type="dxa"/>
            <w:tcBorders>
              <w:top w:val="double" w:sz="4" w:space="0" w:color="auto"/>
            </w:tcBorders>
            <w:shd w:val="clear" w:color="auto" w:fill="auto"/>
          </w:tcPr>
          <w:p w:rsidR="00B61224" w:rsidRDefault="00B61224" w:rsidP="00B61224">
            <w:pPr>
              <w:pStyle w:val="right"/>
            </w:pPr>
            <w:r>
              <w:t>($-474.56)</w:t>
            </w:r>
          </w:p>
        </w:tc>
        <w:tc>
          <w:tcPr>
            <w:tcW w:w="1728" w:type="dxa"/>
            <w:tcBorders>
              <w:top w:val="double" w:sz="4" w:space="0" w:color="auto"/>
            </w:tcBorders>
            <w:shd w:val="clear" w:color="auto" w:fill="auto"/>
          </w:tcPr>
          <w:p w:rsidR="00B61224" w:rsidRDefault="00B61224" w:rsidP="00B61224">
            <w:pPr>
              <w:pStyle w:val="right"/>
            </w:pPr>
            <w:r>
              <w:t>($-294.65)</w:t>
            </w:r>
          </w:p>
        </w:tc>
      </w:tr>
      <w:tr w:rsidR="00B61224" w:rsidTr="00B61224">
        <w:tc>
          <w:tcPr>
            <w:tcW w:w="5760" w:type="dxa"/>
            <w:shd w:val="clear" w:color="auto" w:fill="auto"/>
          </w:tcPr>
          <w:p w:rsidR="00B61224" w:rsidRDefault="00B61224" w:rsidP="00B61224">
            <w:pPr>
              <w:pStyle w:val="l1"/>
            </w:pPr>
            <w:r>
              <w:t>This is represented by</w:t>
            </w:r>
          </w:p>
        </w:tc>
        <w:tc>
          <w:tcPr>
            <w:tcW w:w="1728" w:type="dxa"/>
            <w:shd w:val="clear" w:color="auto" w:fill="auto"/>
          </w:tcPr>
          <w:p w:rsidR="00B61224" w:rsidRDefault="00B61224" w:rsidP="00B61224">
            <w:pPr>
              <w:pStyle w:val="right"/>
            </w:pPr>
          </w:p>
        </w:tc>
        <w:tc>
          <w:tcPr>
            <w:tcW w:w="1728" w:type="dxa"/>
            <w:shd w:val="clear" w:color="auto" w:fill="auto"/>
          </w:tcPr>
          <w:p w:rsidR="00B61224" w:rsidRDefault="00B61224" w:rsidP="00B61224">
            <w:pPr>
              <w:pStyle w:val="right"/>
            </w:pPr>
          </w:p>
        </w:tc>
      </w:tr>
      <w:tr w:rsidR="00B61224" w:rsidTr="00B61224">
        <w:tc>
          <w:tcPr>
            <w:tcW w:w="5760" w:type="dxa"/>
            <w:shd w:val="clear" w:color="auto" w:fill="auto"/>
          </w:tcPr>
          <w:p w:rsidR="00B61224" w:rsidRDefault="00B61224" w:rsidP="00B61224">
            <w:pPr>
              <w:pStyle w:val="l2"/>
            </w:pPr>
            <w:r>
              <w:t>Total bank accounts and cash</w:t>
            </w:r>
          </w:p>
        </w:tc>
        <w:tc>
          <w:tcPr>
            <w:tcW w:w="1728" w:type="dxa"/>
            <w:shd w:val="clear" w:color="auto" w:fill="auto"/>
          </w:tcPr>
          <w:p w:rsidR="00B61224" w:rsidRDefault="00B61224" w:rsidP="00B61224">
            <w:pPr>
              <w:pStyle w:val="right"/>
            </w:pPr>
            <w:r>
              <w:t>$12805.57</w:t>
            </w:r>
          </w:p>
        </w:tc>
        <w:tc>
          <w:tcPr>
            <w:tcW w:w="1728" w:type="dxa"/>
            <w:shd w:val="clear" w:color="auto" w:fill="auto"/>
          </w:tcPr>
          <w:p w:rsidR="00B61224" w:rsidRDefault="00B61224" w:rsidP="00B61224">
            <w:pPr>
              <w:pStyle w:val="right"/>
            </w:pPr>
            <w:r>
              <w:t>$13280.13</w:t>
            </w:r>
          </w:p>
        </w:tc>
      </w:tr>
    </w:tbl>
    <w:p w:rsidR="00B61224" w:rsidRDefault="00B61224" w:rsidP="00B61224">
      <w:pPr>
        <w:sectPr w:rsidR="00B61224" w:rsidSect="00B61224">
          <w:pgSz w:w="11909" w:h="16834" w:code="9"/>
          <w:pgMar w:top="720" w:right="1440" w:bottom="720" w:left="1440" w:header="720" w:footer="720" w:gutter="0"/>
          <w:cols w:space="720"/>
          <w:docGrid w:linePitch="360"/>
        </w:sectPr>
      </w:pPr>
    </w:p>
    <w:p w:rsidR="00B61224" w:rsidRDefault="00B61224" w:rsidP="00B61224">
      <w:pPr>
        <w:pStyle w:val="Title"/>
      </w:pPr>
      <w:r>
        <w:lastRenderedPageBreak/>
        <w:t>The Braille Authority of New Zealand</w:t>
      </w:r>
    </w:p>
    <w:p w:rsidR="00B61224" w:rsidRDefault="00B61224" w:rsidP="00B61224">
      <w:pPr>
        <w:pStyle w:val="Title"/>
      </w:pPr>
      <w:r>
        <w:t>Aotearoa Trust (BANZAT)</w:t>
      </w:r>
    </w:p>
    <w:p w:rsidR="00B61224" w:rsidRDefault="00B61224" w:rsidP="00B61224">
      <w:pPr>
        <w:pStyle w:val="HeadingBlank"/>
      </w:pPr>
    </w:p>
    <w:p w:rsidR="00B61224" w:rsidRDefault="00B61224" w:rsidP="00B61224">
      <w:pPr>
        <w:pStyle w:val="Heading2"/>
      </w:pPr>
      <w:bookmarkStart w:id="7" w:name="_Toc18497723"/>
      <w:r>
        <w:t>Statement of Accounting Policies</w:t>
      </w:r>
      <w:bookmarkEnd w:id="7"/>
    </w:p>
    <w:p w:rsidR="00B61224" w:rsidRDefault="00B61224" w:rsidP="00B61224">
      <w:pPr>
        <w:pStyle w:val="HeadingBlank"/>
      </w:pPr>
    </w:p>
    <w:p w:rsidR="00B61224" w:rsidRDefault="00B61224" w:rsidP="00B61224">
      <w:r>
        <w:rPr>
          <w:b/>
        </w:rPr>
        <w:t>for the Year Ended 30 June 2019</w:t>
      </w:r>
    </w:p>
    <w:p w:rsidR="00B61224" w:rsidRDefault="00B61224" w:rsidP="00B61224"/>
    <w:p w:rsidR="00B61224" w:rsidRDefault="00B61224" w:rsidP="00B61224">
      <w:pPr>
        <w:pStyle w:val="Heading3"/>
      </w:pPr>
      <w:r>
        <w:t>Basis of Preparation</w:t>
      </w:r>
    </w:p>
    <w:p w:rsidR="00B61224" w:rsidRDefault="00B61224" w:rsidP="00B61224">
      <w:pPr>
        <w:pStyle w:val="HeadingBlank"/>
      </w:pPr>
    </w:p>
    <w:p w:rsidR="00B61224" w:rsidRDefault="00B61224" w:rsidP="00B61224">
      <w:r>
        <w:t>The Braille Authority of New Zealand Aotearoa Trust (BANZAT) has elected to apply Tier 3 PBE SFR-A (NFP) Public Benefit Entity Simple Format Reporting - Accrual (Not-For-Profit) on the basis that it does not have public accountability and has total annual expenses of equal to or less than $2,000,000. All transactions in the Performance Report are reported using the accrual basis of accounting. The Performance Report is prepared under the assumption that the entity will continue to operate in the foreseeable future.</w:t>
      </w:r>
    </w:p>
    <w:p w:rsidR="00B61224" w:rsidRDefault="00B61224" w:rsidP="00B61224"/>
    <w:p w:rsidR="00B61224" w:rsidRDefault="00B61224" w:rsidP="00B61224">
      <w:pPr>
        <w:pStyle w:val="Heading3"/>
      </w:pPr>
      <w:r>
        <w:t>Goods and Services Tax (GST)</w:t>
      </w:r>
    </w:p>
    <w:p w:rsidR="00B61224" w:rsidRDefault="00B61224" w:rsidP="00B61224">
      <w:pPr>
        <w:pStyle w:val="HeadingBlank"/>
      </w:pPr>
    </w:p>
    <w:p w:rsidR="00B61224" w:rsidRDefault="00B61224" w:rsidP="00B61224">
      <w:r>
        <w:t>BANZAT is registered for GST. All amounts are recorded exclusive of GST, except for Debtors and Creditors which are stated inclusive of GST.</w:t>
      </w:r>
    </w:p>
    <w:p w:rsidR="00B61224" w:rsidRDefault="00B61224" w:rsidP="00B61224"/>
    <w:p w:rsidR="00B61224" w:rsidRDefault="00B61224" w:rsidP="00B61224">
      <w:pPr>
        <w:pStyle w:val="Heading3"/>
      </w:pPr>
      <w:r>
        <w:t>Income Tax</w:t>
      </w:r>
    </w:p>
    <w:p w:rsidR="00B61224" w:rsidRDefault="00B61224" w:rsidP="00B61224">
      <w:pPr>
        <w:pStyle w:val="HeadingBlank"/>
      </w:pPr>
    </w:p>
    <w:p w:rsidR="00B61224" w:rsidRDefault="00B61224" w:rsidP="00B61224">
      <w:r>
        <w:t>BANZAT is a registered charity and is wholly exempt from New Zealand income tax having fully complied with all statutory conditions for these exemptions.</w:t>
      </w:r>
    </w:p>
    <w:p w:rsidR="00B61224" w:rsidRDefault="00B61224" w:rsidP="00B61224"/>
    <w:p w:rsidR="00B61224" w:rsidRDefault="00B61224" w:rsidP="00B61224">
      <w:pPr>
        <w:pStyle w:val="Heading3"/>
      </w:pPr>
      <w:r>
        <w:t>Revenue</w:t>
      </w:r>
    </w:p>
    <w:p w:rsidR="00B61224" w:rsidRDefault="00B61224" w:rsidP="00B61224">
      <w:pPr>
        <w:pStyle w:val="HeadingBlank"/>
      </w:pPr>
    </w:p>
    <w:p w:rsidR="00B61224" w:rsidRDefault="00B61224" w:rsidP="00B61224">
      <w:r>
        <w:t>Revenue is recognised when it is probable that the economic benefit will flow to BANZAT and can be reliably measured. Grant revenue is recognised when the invoice is raised to the Blind Foundation.</w:t>
      </w:r>
    </w:p>
    <w:p w:rsidR="00B61224" w:rsidRDefault="00B61224" w:rsidP="00B61224"/>
    <w:p w:rsidR="00B61224" w:rsidRDefault="00B61224" w:rsidP="00B61224">
      <w:pPr>
        <w:pStyle w:val="Heading3"/>
      </w:pPr>
      <w:r>
        <w:t>Bank Accounts and Cash</w:t>
      </w:r>
    </w:p>
    <w:p w:rsidR="00B61224" w:rsidRDefault="00B61224" w:rsidP="00B61224">
      <w:pPr>
        <w:pStyle w:val="HeadingBlank"/>
      </w:pPr>
    </w:p>
    <w:p w:rsidR="00B61224" w:rsidRDefault="00B61224" w:rsidP="00B61224">
      <w:r>
        <w:t>Bank Accounts and Cash in the Statement of Cash Flows comprise cash balances and bank balances (including short term deposits) with original maturities of 90 days or less.</w:t>
      </w:r>
    </w:p>
    <w:p w:rsidR="00B61224" w:rsidRDefault="00B61224" w:rsidP="00B61224"/>
    <w:p w:rsidR="00B61224" w:rsidRDefault="00B61224" w:rsidP="00B61224">
      <w:pPr>
        <w:pStyle w:val="Heading3"/>
      </w:pPr>
      <w:r>
        <w:t>Other Specific Accounting Policy</w:t>
      </w:r>
    </w:p>
    <w:p w:rsidR="00B61224" w:rsidRDefault="00B61224" w:rsidP="00B61224">
      <w:pPr>
        <w:pStyle w:val="HeadingBlank"/>
      </w:pPr>
    </w:p>
    <w:p w:rsidR="00B61224" w:rsidRDefault="00B61224" w:rsidP="00B61224">
      <w:r>
        <w:t>There have not been any Tier 2 PBE Accounting standards adopted in the preparation of these accounts.</w:t>
      </w:r>
    </w:p>
    <w:p w:rsidR="00B61224" w:rsidRDefault="00B61224" w:rsidP="00B61224"/>
    <w:p w:rsidR="00B61224" w:rsidRDefault="00B61224" w:rsidP="00B61224">
      <w:pPr>
        <w:pStyle w:val="Heading3"/>
      </w:pPr>
      <w:r>
        <w:t>Changes in Accounting Policies</w:t>
      </w:r>
    </w:p>
    <w:p w:rsidR="00B61224" w:rsidRDefault="00B61224" w:rsidP="00B61224">
      <w:pPr>
        <w:pStyle w:val="HeadingBlank"/>
      </w:pPr>
    </w:p>
    <w:p w:rsidR="00B61224" w:rsidRDefault="00B61224" w:rsidP="00B61224">
      <w:r>
        <w:t>There have been no changes in accounting policies during the financial year (last year - nil).</w:t>
      </w:r>
    </w:p>
    <w:p w:rsidR="00B61224" w:rsidRDefault="00B61224" w:rsidP="00B61224">
      <w:pPr>
        <w:sectPr w:rsidR="00B61224" w:rsidSect="00B61224">
          <w:pgSz w:w="11909" w:h="16834" w:code="9"/>
          <w:pgMar w:top="720" w:right="1440" w:bottom="720" w:left="1440" w:header="720" w:footer="720" w:gutter="0"/>
          <w:cols w:space="720"/>
          <w:docGrid w:linePitch="360"/>
        </w:sectPr>
      </w:pPr>
    </w:p>
    <w:p w:rsidR="00B61224" w:rsidRDefault="00B61224" w:rsidP="00B61224">
      <w:pPr>
        <w:pStyle w:val="Title"/>
      </w:pPr>
      <w:r>
        <w:lastRenderedPageBreak/>
        <w:t>The Braille Authority of New Zealand</w:t>
      </w:r>
    </w:p>
    <w:p w:rsidR="00B61224" w:rsidRDefault="00B61224" w:rsidP="00B61224">
      <w:pPr>
        <w:pStyle w:val="Title"/>
      </w:pPr>
      <w:r>
        <w:t>Aotearoa Trust (BANZAT)</w:t>
      </w:r>
    </w:p>
    <w:p w:rsidR="00B61224" w:rsidRDefault="00B61224" w:rsidP="00B61224">
      <w:pPr>
        <w:pStyle w:val="HeadingBlank"/>
      </w:pPr>
    </w:p>
    <w:p w:rsidR="00B61224" w:rsidRDefault="00B61224" w:rsidP="00B61224">
      <w:pPr>
        <w:pStyle w:val="Heading2"/>
      </w:pPr>
      <w:bookmarkStart w:id="8" w:name="_Toc18497724"/>
      <w:r>
        <w:t>Notes to the Performance Report</w:t>
      </w:r>
      <w:bookmarkEnd w:id="8"/>
    </w:p>
    <w:p w:rsidR="00B61224" w:rsidRDefault="00B61224" w:rsidP="00B61224">
      <w:pPr>
        <w:pStyle w:val="HeadingBlank"/>
      </w:pPr>
    </w:p>
    <w:p w:rsidR="00B61224" w:rsidRDefault="00B61224" w:rsidP="00B61224">
      <w:r>
        <w:rPr>
          <w:b/>
        </w:rPr>
        <w:t>for the Year Ended 30 June 2019</w:t>
      </w:r>
    </w:p>
    <w:p w:rsidR="00B61224" w:rsidRDefault="00B61224" w:rsidP="00B61224"/>
    <w:p w:rsidR="00B61224" w:rsidRDefault="00B61224" w:rsidP="00B61224">
      <w:pPr>
        <w:pStyle w:val="Heading3"/>
      </w:pPr>
      <w:r>
        <w:t>Note 1: Analysis of Revenue</w:t>
      </w:r>
    </w:p>
    <w:p w:rsidR="00B61224" w:rsidRDefault="00B61224" w:rsidP="00B61224">
      <w:pPr>
        <w:pStyle w:val="HeadingBlank"/>
      </w:pPr>
    </w:p>
    <w:p w:rsidR="00B61224" w:rsidRDefault="00B61224" w:rsidP="00B61224">
      <w:r>
        <w:t>Revenue is from the annual grant provided by the Blind Foundation and the annual renewal of accreditation by BANZAT of individual braille producers.</w:t>
      </w:r>
    </w:p>
    <w:p w:rsidR="00B61224" w:rsidRDefault="00B61224" w:rsidP="00B61224"/>
    <w:p w:rsidR="00B61224" w:rsidRDefault="00B61224" w:rsidP="00B61224">
      <w:r>
        <w:t>In 2017 The St Anne's Trust for the North Shore Sight Impaired wound up and donated $3,000.00 to BANZAT for the purpose of providing prizes for braille reading competitions for children. A special fund has been created for this exclusive purpose.</w:t>
      </w:r>
    </w:p>
    <w:p w:rsidR="00B61224" w:rsidRDefault="00B61224" w:rsidP="00B61224"/>
    <w:p w:rsidR="00B61224" w:rsidRDefault="00B61224" w:rsidP="00B61224">
      <w:pPr>
        <w:pStyle w:val="Heading3"/>
      </w:pPr>
      <w:r>
        <w:t>Note 2: Analysis of Expenses</w:t>
      </w:r>
    </w:p>
    <w:p w:rsidR="00B61224" w:rsidRDefault="00B61224" w:rsidP="00B61224">
      <w:pPr>
        <w:pStyle w:val="HeadingBlank"/>
      </w:pPr>
    </w:p>
    <w:p w:rsidR="00B61224" w:rsidRDefault="00B61224" w:rsidP="00B61224">
      <w:r>
        <w:t>Expenses are on administration services, meetings of the Trust, and membership of the International Council on English Braille.</w:t>
      </w:r>
    </w:p>
    <w:p w:rsidR="00B61224" w:rsidRDefault="00B61224" w:rsidP="00B61224"/>
    <w:p w:rsidR="00B61224" w:rsidRDefault="00B61224" w:rsidP="00B61224">
      <w:r>
        <w:t>Surplus: BANZAT has recorded a surplus this year of $292 compared with a deficit last year of $420. However if the cost of the prizes for the children's competitions is removed, the operating surplus is $925. This surplus is primarily because three trustees were unavailable for the June meeting, reducing costs of air fares and taxis.</w:t>
      </w:r>
    </w:p>
    <w:p w:rsidR="00B61224" w:rsidRDefault="00B61224" w:rsidP="00B61224"/>
    <w:p w:rsidR="00B61224" w:rsidRDefault="00B61224" w:rsidP="00B61224">
      <w:r>
        <w:t>$632.67 was expensed from The St Anne's Trust for the North Shore Sight Impaired special fund during the year on prizes for the children's competitions.</w:t>
      </w:r>
    </w:p>
    <w:p w:rsidR="00B61224" w:rsidRDefault="00B61224" w:rsidP="00B61224"/>
    <w:p w:rsidR="00B61224" w:rsidRDefault="00B61224" w:rsidP="00B61224">
      <w:pPr>
        <w:pStyle w:val="Heading3"/>
      </w:pPr>
      <w:r>
        <w:t>Note 3: Analysis of Assets and Liabilities</w:t>
      </w:r>
    </w:p>
    <w:p w:rsidR="00B61224" w:rsidRDefault="00B61224" w:rsidP="00B61224">
      <w:pPr>
        <w:pStyle w:val="HeadingBlank"/>
      </w:pPr>
    </w:p>
    <w:p w:rsidR="00B61224" w:rsidRDefault="00B61224" w:rsidP="00B61224">
      <w:r>
        <w:t>At balance date are the assets of the ASB Bank account, GST expensed awaiting recovery and liabilities to A I Comms for administration.</w:t>
      </w:r>
    </w:p>
    <w:p w:rsidR="00B61224" w:rsidRDefault="00B61224" w:rsidP="00B61224"/>
    <w:p w:rsidR="00B61224" w:rsidRDefault="00B61224" w:rsidP="00B61224">
      <w:pPr>
        <w:pStyle w:val="Heading3"/>
      </w:pPr>
      <w:r>
        <w:t>Note 4: Accumulated Funds</w:t>
      </w:r>
    </w:p>
    <w:p w:rsidR="00B61224" w:rsidRDefault="00B61224" w:rsidP="00B61224">
      <w:pPr>
        <w:pStyle w:val="HeadingBlank"/>
      </w:pPr>
    </w:p>
    <w:p w:rsidR="00B61224" w:rsidRDefault="00B61224" w:rsidP="00B61224">
      <w:pPr>
        <w:pStyle w:val="l1"/>
      </w:pPr>
      <w:r>
        <w:t>Accumulated funds are made up of</w:t>
      </w:r>
    </w:p>
    <w:p w:rsidR="00B61224" w:rsidRDefault="00B61224" w:rsidP="00B61224">
      <w:pPr>
        <w:pStyle w:val="l1"/>
      </w:pPr>
      <w:r>
        <w:t>Capital Contributed by Owners or Members = $100.00, the amount paid by the Settlor at the establishment of the Trust; and</w:t>
      </w:r>
    </w:p>
    <w:p w:rsidR="00B61224" w:rsidRDefault="00B61224" w:rsidP="00B61224">
      <w:pPr>
        <w:pStyle w:val="l1"/>
      </w:pPr>
      <w:r>
        <w:t>Accumulated Surpluses or Deficits = $11673.24 less $100.00, giving $11573.24.</w:t>
      </w:r>
    </w:p>
    <w:p w:rsidR="00B61224" w:rsidRDefault="00B61224" w:rsidP="00B61224">
      <w:pPr>
        <w:pStyle w:val="l1"/>
      </w:pPr>
    </w:p>
    <w:p w:rsidR="00B61224" w:rsidRDefault="00B61224" w:rsidP="00B61224">
      <w:r>
        <w:t>In the Accumulated Surpluses or Deficits amount is the special fund of $2367.33, the residue of the 2017 donation from The St Anne's Trust for the North Shore Sight Impaired for the purpose of providing prizes for braille reading competitions for children.</w:t>
      </w:r>
    </w:p>
    <w:p w:rsidR="00B61224" w:rsidRDefault="00B61224" w:rsidP="00B61224"/>
    <w:p w:rsidR="00B61224" w:rsidRDefault="00B61224" w:rsidP="00B61224">
      <w:pPr>
        <w:pStyle w:val="Heading3"/>
      </w:pPr>
      <w:r>
        <w:t>Note 5: Commitments and Contingencies</w:t>
      </w:r>
    </w:p>
    <w:p w:rsidR="00B61224" w:rsidRDefault="00B61224" w:rsidP="00B61224">
      <w:pPr>
        <w:pStyle w:val="HeadingBlank"/>
      </w:pPr>
    </w:p>
    <w:p w:rsidR="00B61224" w:rsidRDefault="00B61224" w:rsidP="00B61224">
      <w:r>
        <w:t>There are no commitments or contingencies at balance date (last year - nil).</w:t>
      </w:r>
    </w:p>
    <w:p w:rsidR="00B61224" w:rsidRDefault="00B61224" w:rsidP="00B61224"/>
    <w:p w:rsidR="00B61224" w:rsidRDefault="00B61224" w:rsidP="00B61224">
      <w:pPr>
        <w:pStyle w:val="Heading3"/>
      </w:pPr>
      <w:r>
        <w:lastRenderedPageBreak/>
        <w:t>Note 6: Related Party Transactions</w:t>
      </w:r>
    </w:p>
    <w:p w:rsidR="00B61224" w:rsidRDefault="00B61224" w:rsidP="00B61224">
      <w:pPr>
        <w:pStyle w:val="HeadingBlank"/>
      </w:pPr>
    </w:p>
    <w:p w:rsidR="00B61224" w:rsidRDefault="00B61224" w:rsidP="00B61224">
      <w:r>
        <w:t>During the year BANZAT paid $3750.00 (previous year $3750.00) to A I Comms (Accessible Information and Communications Ltd) for administrative services. A director of A I Comms is Mary Schnackenberg, a BANZAT trustee.</w:t>
      </w:r>
    </w:p>
    <w:p w:rsidR="00B61224" w:rsidRDefault="00B61224" w:rsidP="00B61224"/>
    <w:p w:rsidR="00B61224" w:rsidRDefault="00B61224" w:rsidP="00B61224">
      <w:pPr>
        <w:pStyle w:val="Heading3"/>
      </w:pPr>
      <w:r>
        <w:t>Note 7: Events After the Balance Date</w:t>
      </w:r>
    </w:p>
    <w:p w:rsidR="00B61224" w:rsidRDefault="00B61224" w:rsidP="00B61224">
      <w:pPr>
        <w:pStyle w:val="HeadingBlank"/>
      </w:pPr>
    </w:p>
    <w:p w:rsidR="00B61224" w:rsidRDefault="00B61224" w:rsidP="00B61224">
      <w:r>
        <w:t>There were no events that have occurred after the balance date that would have a material impact on the Performance Report (last year - nil).</w:t>
      </w:r>
    </w:p>
    <w:p w:rsidR="00B61224" w:rsidRDefault="00B61224" w:rsidP="00B61224"/>
    <w:p w:rsidR="00B61224" w:rsidRDefault="00B61224" w:rsidP="00B61224"/>
    <w:p w:rsidR="00B61224" w:rsidRDefault="00B61224" w:rsidP="00B61224">
      <w:r>
        <w:t>BANZAT Chair, Maria Stevens</w:t>
      </w:r>
    </w:p>
    <w:p w:rsidR="00B61224" w:rsidRDefault="00B61224" w:rsidP="00B61224"/>
    <w:p w:rsidR="00B61224" w:rsidRDefault="00B61224" w:rsidP="00B61224">
      <w:r>
        <w:t>BANZAT Treasurer</w:t>
      </w:r>
    </w:p>
    <w:p w:rsidR="00B61224" w:rsidRDefault="00B61224" w:rsidP="00B61224">
      <w:pPr>
        <w:pStyle w:val="sig"/>
      </w:pPr>
      <w:r>
        <w:rPr>
          <w:noProof/>
          <w:lang w:eastAsia="en-NZ"/>
        </w:rPr>
        <w:drawing>
          <wp:inline distT="0" distB="0" distL="0" distR="0">
            <wp:extent cx="3517900" cy="977900"/>
            <wp:effectExtent l="19050" t="0" r="6350" b="0"/>
            <wp:docPr id="1" name="Picture 1" descr="Signa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3517900" cy="977900"/>
                    </a:xfrm>
                    <a:prstGeom prst="rect">
                      <a:avLst/>
                    </a:prstGeom>
                  </pic:spPr>
                </pic:pic>
              </a:graphicData>
            </a:graphic>
          </wp:inline>
        </w:drawing>
      </w:r>
    </w:p>
    <w:p w:rsidR="00B61224" w:rsidRDefault="00B61224" w:rsidP="00B61224">
      <w:r>
        <w:t>Mary Schnackenberg</w:t>
      </w:r>
    </w:p>
    <w:p w:rsidR="00B61224" w:rsidRDefault="00B61224" w:rsidP="00B61224">
      <w:r>
        <w:t>10 September 2019</w:t>
      </w:r>
    </w:p>
    <w:p w:rsidR="00E922BB" w:rsidRPr="00B61224" w:rsidRDefault="00E922BB" w:rsidP="00B61224"/>
    <w:sectPr w:rsidR="00E922BB" w:rsidRPr="00B61224" w:rsidSect="00B61224">
      <w:pgSz w:w="11909" w:h="16834" w:code="9"/>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AB7" w:rsidRDefault="00E21AB7">
      <w:r>
        <w:separator/>
      </w:r>
    </w:p>
  </w:endnote>
  <w:endnote w:type="continuationSeparator" w:id="0">
    <w:p w:rsidR="00E21AB7" w:rsidRDefault="00E21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AB7" w:rsidRDefault="00E21AB7">
      <w:r>
        <w:separator/>
      </w:r>
    </w:p>
  </w:footnote>
  <w:footnote w:type="continuationSeparator" w:id="0">
    <w:p w:rsidR="00E21AB7" w:rsidRDefault="00E21A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CE3" w:rsidRDefault="00C57CE3" w:rsidP="00B612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57CE3" w:rsidRDefault="00C57CE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CE3" w:rsidRDefault="00C57CE3" w:rsidP="00B612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24DB">
      <w:rPr>
        <w:rStyle w:val="PageNumber"/>
        <w:noProof/>
      </w:rPr>
      <w:t>2</w:t>
    </w:r>
    <w:r>
      <w:rPr>
        <w:rStyle w:val="PageNumber"/>
      </w:rPr>
      <w:fldChar w:fldCharType="end"/>
    </w:r>
  </w:p>
  <w:p w:rsidR="00C57CE3" w:rsidRDefault="00C57CE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27C40"/>
    <w:multiLevelType w:val="multilevel"/>
    <w:tmpl w:val="C8F4CBB6"/>
    <w:lvl w:ilvl="0">
      <w:start w:val="1"/>
      <w:numFmt w:val="decimal"/>
      <w:pStyle w:val="Outline1heading"/>
      <w:lvlText w:val="%1.0"/>
      <w:lvlJc w:val="left"/>
      <w:pPr>
        <w:tabs>
          <w:tab w:val="num" w:pos="720"/>
        </w:tabs>
        <w:ind w:left="720" w:hanging="720"/>
      </w:pPr>
      <w:rPr>
        <w:rFonts w:hint="default"/>
      </w:rPr>
    </w:lvl>
    <w:lvl w:ilvl="1">
      <w:start w:val="1"/>
      <w:numFmt w:val="decimal"/>
      <w:pStyle w:val="Outline2heading"/>
      <w:lvlText w:val="%1.%2."/>
      <w:lvlJc w:val="left"/>
      <w:pPr>
        <w:tabs>
          <w:tab w:val="num" w:pos="720"/>
        </w:tabs>
        <w:ind w:left="720" w:hanging="720"/>
      </w:pPr>
      <w:rPr>
        <w:rFonts w:hint="default"/>
      </w:rPr>
    </w:lvl>
    <w:lvl w:ilvl="2">
      <w:start w:val="1"/>
      <w:numFmt w:val="decimal"/>
      <w:pStyle w:val="Outline3heading"/>
      <w:lvlText w:val="%1.%2.%3."/>
      <w:lvlJc w:val="left"/>
      <w:pPr>
        <w:tabs>
          <w:tab w:val="num" w:pos="720"/>
        </w:tabs>
        <w:ind w:left="720" w:hanging="720"/>
      </w:pPr>
      <w:rPr>
        <w:rFonts w:hint="default"/>
      </w:rPr>
    </w:lvl>
    <w:lvl w:ilvl="3">
      <w:start w:val="1"/>
      <w:numFmt w:val="decimal"/>
      <w:pStyle w:val="outline4heading"/>
      <w:lvlText w:val="%1.%2.%3.%4."/>
      <w:lvlJc w:val="left"/>
      <w:pPr>
        <w:tabs>
          <w:tab w:val="num" w:pos="1080"/>
        </w:tabs>
        <w:ind w:left="720" w:hanging="720"/>
      </w:pPr>
      <w:rPr>
        <w:rFonts w:hint="default"/>
      </w:rPr>
    </w:lvl>
    <w:lvl w:ilvl="4">
      <w:start w:val="1"/>
      <w:numFmt w:val="decimal"/>
      <w:pStyle w:val="Outline5"/>
      <w:lvlText w:val="%1.%2.%3.%4.%5."/>
      <w:lvlJc w:val="left"/>
      <w:pPr>
        <w:tabs>
          <w:tab w:val="num" w:pos="288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
    <w:nsid w:val="652B61DD"/>
    <w:multiLevelType w:val="multilevel"/>
    <w:tmpl w:val="C882AC1C"/>
    <w:lvl w:ilvl="0">
      <w:start w:val="1"/>
      <w:numFmt w:val="decimal"/>
      <w:pStyle w:val="outline1"/>
      <w:lvlText w:val="%1."/>
      <w:lvlJc w:val="left"/>
      <w:pPr>
        <w:tabs>
          <w:tab w:val="num" w:pos="360"/>
        </w:tabs>
        <w:ind w:left="360" w:hanging="360"/>
      </w:pPr>
      <w:rPr>
        <w:rFonts w:hint="default"/>
      </w:rPr>
    </w:lvl>
    <w:lvl w:ilvl="1">
      <w:start w:val="1"/>
      <w:numFmt w:val="decimal"/>
      <w:pStyle w:val="outline2"/>
      <w:lvlText w:val="%1.%2."/>
      <w:lvlJc w:val="left"/>
      <w:pPr>
        <w:tabs>
          <w:tab w:val="num" w:pos="1080"/>
        </w:tabs>
        <w:ind w:left="792" w:hanging="432"/>
      </w:pPr>
      <w:rPr>
        <w:rFonts w:hint="default"/>
      </w:rPr>
    </w:lvl>
    <w:lvl w:ilvl="2">
      <w:start w:val="1"/>
      <w:numFmt w:val="decimal"/>
      <w:pStyle w:val="outline3"/>
      <w:lvlText w:val="1.1.%2"/>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569A6"/>
    <w:rsid w:val="000569A6"/>
    <w:rsid w:val="00082800"/>
    <w:rsid w:val="000C3CD8"/>
    <w:rsid w:val="00145F5B"/>
    <w:rsid w:val="00155210"/>
    <w:rsid w:val="00160DC2"/>
    <w:rsid w:val="00161A9A"/>
    <w:rsid w:val="00162A3B"/>
    <w:rsid w:val="001B34CD"/>
    <w:rsid w:val="00200D4F"/>
    <w:rsid w:val="002D49F3"/>
    <w:rsid w:val="002F442E"/>
    <w:rsid w:val="00367A55"/>
    <w:rsid w:val="00370C3B"/>
    <w:rsid w:val="00374E45"/>
    <w:rsid w:val="00390F72"/>
    <w:rsid w:val="003965E7"/>
    <w:rsid w:val="003B4032"/>
    <w:rsid w:val="003B71C9"/>
    <w:rsid w:val="003F6248"/>
    <w:rsid w:val="004136D7"/>
    <w:rsid w:val="0043598F"/>
    <w:rsid w:val="00486D16"/>
    <w:rsid w:val="004C7C63"/>
    <w:rsid w:val="004F4C67"/>
    <w:rsid w:val="005448EB"/>
    <w:rsid w:val="00552721"/>
    <w:rsid w:val="005A56A9"/>
    <w:rsid w:val="005D08AB"/>
    <w:rsid w:val="005D6301"/>
    <w:rsid w:val="005F717C"/>
    <w:rsid w:val="006072AD"/>
    <w:rsid w:val="006559FE"/>
    <w:rsid w:val="00665518"/>
    <w:rsid w:val="006A154F"/>
    <w:rsid w:val="006D4D81"/>
    <w:rsid w:val="006D5268"/>
    <w:rsid w:val="006F5825"/>
    <w:rsid w:val="00756EE6"/>
    <w:rsid w:val="00776BA7"/>
    <w:rsid w:val="00794F5E"/>
    <w:rsid w:val="007E7763"/>
    <w:rsid w:val="007F34E0"/>
    <w:rsid w:val="00842507"/>
    <w:rsid w:val="008E1708"/>
    <w:rsid w:val="00912C87"/>
    <w:rsid w:val="0092055C"/>
    <w:rsid w:val="009A0CA4"/>
    <w:rsid w:val="009B1409"/>
    <w:rsid w:val="009C0639"/>
    <w:rsid w:val="009C63D0"/>
    <w:rsid w:val="00B0436E"/>
    <w:rsid w:val="00B61224"/>
    <w:rsid w:val="00B9435D"/>
    <w:rsid w:val="00BF0B54"/>
    <w:rsid w:val="00BF666F"/>
    <w:rsid w:val="00C11B75"/>
    <w:rsid w:val="00C124DB"/>
    <w:rsid w:val="00C31DA8"/>
    <w:rsid w:val="00C57CE3"/>
    <w:rsid w:val="00CB0B03"/>
    <w:rsid w:val="00CE66FE"/>
    <w:rsid w:val="00D53061"/>
    <w:rsid w:val="00D7315D"/>
    <w:rsid w:val="00DC7857"/>
    <w:rsid w:val="00DD19F0"/>
    <w:rsid w:val="00DE580C"/>
    <w:rsid w:val="00E21AB7"/>
    <w:rsid w:val="00E501E1"/>
    <w:rsid w:val="00E5741A"/>
    <w:rsid w:val="00E654A3"/>
    <w:rsid w:val="00E922BB"/>
    <w:rsid w:val="00EA0491"/>
    <w:rsid w:val="00ED551B"/>
    <w:rsid w:val="00EE67DA"/>
    <w:rsid w:val="00EF1132"/>
    <w:rsid w:val="00F24D5A"/>
    <w:rsid w:val="00F54D4B"/>
    <w:rsid w:val="00F75AAA"/>
    <w:rsid w:val="00F93F0F"/>
    <w:rsid w:val="00FA3D91"/>
    <w:rsid w:val="00FE7B9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24"/>
    <w:pPr>
      <w:spacing w:before="0"/>
    </w:pPr>
    <w:rPr>
      <w:rFonts w:ascii="Arial" w:hAnsi="Arial" w:cs="Arial"/>
      <w:sz w:val="24"/>
      <w:lang w:eastAsia="en-US"/>
    </w:rPr>
  </w:style>
  <w:style w:type="paragraph" w:styleId="Heading1">
    <w:name w:val="heading 1"/>
    <w:basedOn w:val="Normal"/>
    <w:next w:val="Normal"/>
    <w:qFormat/>
    <w:rsid w:val="00B61224"/>
    <w:pPr>
      <w:keepNext/>
      <w:keepLines/>
      <w:outlineLvl w:val="0"/>
    </w:pPr>
    <w:rPr>
      <w:b/>
      <w:kern w:val="28"/>
      <w:sz w:val="32"/>
    </w:rPr>
  </w:style>
  <w:style w:type="paragraph" w:styleId="Heading2">
    <w:name w:val="heading 2"/>
    <w:basedOn w:val="Normal"/>
    <w:next w:val="Normal"/>
    <w:qFormat/>
    <w:rsid w:val="00B61224"/>
    <w:pPr>
      <w:keepNext/>
      <w:keepLines/>
      <w:outlineLvl w:val="1"/>
    </w:pPr>
    <w:rPr>
      <w:b/>
      <w:sz w:val="28"/>
    </w:rPr>
  </w:style>
  <w:style w:type="paragraph" w:styleId="Heading3">
    <w:name w:val="heading 3"/>
    <w:basedOn w:val="Normal"/>
    <w:next w:val="Normal"/>
    <w:qFormat/>
    <w:rsid w:val="00B61224"/>
    <w:pPr>
      <w:keepNext/>
      <w:keepLines/>
      <w:outlineLvl w:val="2"/>
    </w:pPr>
    <w:rPr>
      <w:b/>
    </w:rPr>
  </w:style>
  <w:style w:type="paragraph" w:styleId="Heading4">
    <w:name w:val="heading 4"/>
    <w:basedOn w:val="Normal"/>
    <w:next w:val="Normal"/>
    <w:link w:val="Heading4Char1"/>
    <w:uiPriority w:val="9"/>
    <w:unhideWhenUsed/>
    <w:qFormat/>
    <w:rsid w:val="00B61224"/>
    <w:pPr>
      <w:keepNext/>
      <w:keepLines/>
      <w:outlineLvl w:val="3"/>
    </w:pPr>
    <w:rPr>
      <w:rFonts w:eastAsiaTheme="majorEastAsia"/>
      <w:bCs/>
      <w:iCs/>
      <w:color w:val="4F81BD" w:themeColor="accen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E922BB"/>
  </w:style>
  <w:style w:type="paragraph" w:customStyle="1" w:styleId="outline2">
    <w:name w:val="outline 2"/>
    <w:basedOn w:val="outline1"/>
    <w:autoRedefine/>
    <w:rsid w:val="00E922BB"/>
    <w:pPr>
      <w:numPr>
        <w:ilvl w:val="1"/>
      </w:numPr>
      <w:outlineLvl w:val="1"/>
    </w:pPr>
  </w:style>
  <w:style w:type="paragraph" w:customStyle="1" w:styleId="outline1">
    <w:name w:val="outline 1"/>
    <w:basedOn w:val="Normal"/>
    <w:autoRedefine/>
    <w:rsid w:val="00E922BB"/>
    <w:pPr>
      <w:numPr>
        <w:numId w:val="1"/>
      </w:numPr>
      <w:spacing w:after="120"/>
      <w:outlineLvl w:val="0"/>
    </w:pPr>
  </w:style>
  <w:style w:type="paragraph" w:customStyle="1" w:styleId="outline3">
    <w:name w:val="outline 3"/>
    <w:basedOn w:val="outline2"/>
    <w:autoRedefine/>
    <w:rsid w:val="00E922BB"/>
    <w:pPr>
      <w:numPr>
        <w:ilvl w:val="2"/>
      </w:numPr>
      <w:outlineLvl w:val="2"/>
    </w:pPr>
  </w:style>
  <w:style w:type="paragraph" w:customStyle="1" w:styleId="Outline4">
    <w:name w:val="Outline 4"/>
    <w:basedOn w:val="outline3"/>
    <w:autoRedefine/>
    <w:rsid w:val="00E922BB"/>
    <w:pPr>
      <w:outlineLvl w:val="3"/>
    </w:pPr>
  </w:style>
  <w:style w:type="paragraph" w:customStyle="1" w:styleId="Outline5">
    <w:name w:val="Outline 5"/>
    <w:basedOn w:val="Outline4"/>
    <w:autoRedefine/>
    <w:rsid w:val="00E922BB"/>
    <w:pPr>
      <w:numPr>
        <w:ilvl w:val="4"/>
        <w:numId w:val="2"/>
      </w:numPr>
      <w:outlineLvl w:val="4"/>
    </w:pPr>
  </w:style>
  <w:style w:type="paragraph" w:customStyle="1" w:styleId="Outline1heading">
    <w:name w:val="Outline 1 heading"/>
    <w:basedOn w:val="outline1"/>
    <w:autoRedefine/>
    <w:rsid w:val="00E922BB"/>
    <w:pPr>
      <w:keepNext/>
      <w:keepLines/>
      <w:numPr>
        <w:numId w:val="2"/>
      </w:numPr>
      <w:suppressAutoHyphens/>
      <w:spacing w:before="240"/>
    </w:pPr>
    <w:rPr>
      <w:b/>
      <w:sz w:val="28"/>
    </w:rPr>
  </w:style>
  <w:style w:type="paragraph" w:customStyle="1" w:styleId="Outline2heading">
    <w:name w:val="Outline 2 heading"/>
    <w:basedOn w:val="outline2"/>
    <w:autoRedefine/>
    <w:rsid w:val="00E922BB"/>
    <w:pPr>
      <w:keepNext/>
      <w:keepLines/>
      <w:numPr>
        <w:numId w:val="2"/>
      </w:numPr>
      <w:suppressAutoHyphens/>
      <w:spacing w:before="240"/>
    </w:pPr>
    <w:rPr>
      <w:b/>
      <w:i/>
    </w:rPr>
  </w:style>
  <w:style w:type="paragraph" w:customStyle="1" w:styleId="Outline3heading">
    <w:name w:val="Outline 3 heading"/>
    <w:basedOn w:val="outline3"/>
    <w:autoRedefine/>
    <w:rsid w:val="00E922BB"/>
    <w:pPr>
      <w:keepNext/>
      <w:keepLines/>
      <w:numPr>
        <w:numId w:val="2"/>
      </w:numPr>
      <w:suppressAutoHyphens/>
      <w:spacing w:before="240"/>
    </w:pPr>
    <w:rPr>
      <w:b/>
    </w:rPr>
  </w:style>
  <w:style w:type="paragraph" w:styleId="Header">
    <w:name w:val="header"/>
    <w:basedOn w:val="Normal"/>
    <w:semiHidden/>
    <w:rsid w:val="00E922BB"/>
    <w:pPr>
      <w:tabs>
        <w:tab w:val="center" w:pos="4320"/>
        <w:tab w:val="right" w:pos="8640"/>
      </w:tabs>
    </w:pPr>
  </w:style>
  <w:style w:type="paragraph" w:customStyle="1" w:styleId="outline4heading">
    <w:name w:val="outline 4 heading"/>
    <w:basedOn w:val="Outline4"/>
    <w:autoRedefine/>
    <w:rsid w:val="00E922BB"/>
    <w:pPr>
      <w:numPr>
        <w:ilvl w:val="3"/>
        <w:numId w:val="2"/>
      </w:numPr>
    </w:pPr>
    <w:rPr>
      <w:b/>
    </w:rPr>
  </w:style>
  <w:style w:type="paragraph" w:styleId="Title">
    <w:name w:val="Title"/>
    <w:basedOn w:val="Normal"/>
    <w:qFormat/>
    <w:rsid w:val="00B61224"/>
    <w:pPr>
      <w:keepNext/>
      <w:keepLines/>
      <w:jc w:val="center"/>
    </w:pPr>
    <w:rPr>
      <w:b/>
      <w:kern w:val="28"/>
      <w:sz w:val="36"/>
    </w:rPr>
  </w:style>
  <w:style w:type="paragraph" w:styleId="Subtitle">
    <w:name w:val="Subtitle"/>
    <w:basedOn w:val="Normal"/>
    <w:qFormat/>
    <w:rsid w:val="00E922BB"/>
    <w:pPr>
      <w:keepNext/>
      <w:spacing w:after="60"/>
      <w:jc w:val="center"/>
    </w:pPr>
  </w:style>
  <w:style w:type="paragraph" w:styleId="FootnoteText">
    <w:name w:val="footnote text"/>
    <w:basedOn w:val="Normal"/>
    <w:autoRedefine/>
    <w:semiHidden/>
    <w:rsid w:val="00E922BB"/>
    <w:pPr>
      <w:ind w:left="720" w:hanging="720"/>
    </w:pPr>
    <w:rPr>
      <w:sz w:val="20"/>
    </w:rPr>
  </w:style>
  <w:style w:type="paragraph" w:customStyle="1" w:styleId="HeadingBlank">
    <w:name w:val="HeadingBlank"/>
    <w:basedOn w:val="Normal"/>
    <w:link w:val="HeadingBlankChar"/>
    <w:rsid w:val="00B61224"/>
    <w:pPr>
      <w:keepNext/>
      <w:keepLines/>
    </w:pPr>
  </w:style>
  <w:style w:type="character" w:customStyle="1" w:styleId="HeadingBlankChar">
    <w:name w:val="HeadingBlank Char"/>
    <w:basedOn w:val="DefaultParagraphFont"/>
    <w:link w:val="HeadingBlank"/>
    <w:rsid w:val="00B61224"/>
    <w:rPr>
      <w:rFonts w:ascii="Arial" w:hAnsi="Arial" w:cs="Arial"/>
      <w:sz w:val="24"/>
      <w:lang w:eastAsia="en-US"/>
    </w:rPr>
  </w:style>
  <w:style w:type="paragraph" w:styleId="Footer">
    <w:name w:val="footer"/>
    <w:basedOn w:val="Normal"/>
    <w:link w:val="FooterChar"/>
    <w:uiPriority w:val="99"/>
    <w:semiHidden/>
    <w:unhideWhenUsed/>
    <w:rsid w:val="00B61224"/>
    <w:pPr>
      <w:tabs>
        <w:tab w:val="center" w:pos="4513"/>
        <w:tab w:val="right" w:pos="9026"/>
      </w:tabs>
    </w:pPr>
  </w:style>
  <w:style w:type="character" w:customStyle="1" w:styleId="FooterChar">
    <w:name w:val="Footer Char"/>
    <w:basedOn w:val="DefaultParagraphFont"/>
    <w:link w:val="Footer"/>
    <w:uiPriority w:val="99"/>
    <w:semiHidden/>
    <w:rsid w:val="00B61224"/>
    <w:rPr>
      <w:rFonts w:ascii="Arial" w:hAnsi="Arial" w:cs="Arial"/>
      <w:sz w:val="24"/>
      <w:lang w:eastAsia="en-US"/>
    </w:rPr>
  </w:style>
  <w:style w:type="paragraph" w:customStyle="1" w:styleId="lb1">
    <w:name w:val="lb1"/>
    <w:basedOn w:val="HeadingBlank"/>
    <w:link w:val="lb1Char"/>
    <w:rsid w:val="00B61224"/>
    <w:pPr>
      <w:keepNext w:val="0"/>
      <w:keepLines w:val="0"/>
      <w:ind w:left="360" w:hanging="360"/>
    </w:pPr>
  </w:style>
  <w:style w:type="character" w:customStyle="1" w:styleId="lb1Char">
    <w:name w:val="lb1 Char"/>
    <w:basedOn w:val="HeadingBlankChar"/>
    <w:link w:val="lb1"/>
    <w:rsid w:val="00B61224"/>
  </w:style>
  <w:style w:type="paragraph" w:customStyle="1" w:styleId="l1">
    <w:name w:val="l1"/>
    <w:basedOn w:val="Normal"/>
    <w:link w:val="l1Char"/>
    <w:rsid w:val="00B61224"/>
    <w:pPr>
      <w:ind w:left="360" w:hanging="360"/>
    </w:pPr>
  </w:style>
  <w:style w:type="character" w:customStyle="1" w:styleId="l1Char">
    <w:name w:val="l1 Char"/>
    <w:basedOn w:val="DefaultParagraphFont"/>
    <w:link w:val="l1"/>
    <w:rsid w:val="00B61224"/>
    <w:rPr>
      <w:rFonts w:ascii="Arial" w:hAnsi="Arial" w:cs="Arial"/>
      <w:sz w:val="24"/>
      <w:lang w:eastAsia="en-US"/>
    </w:rPr>
  </w:style>
  <w:style w:type="table" w:styleId="TableGrid">
    <w:name w:val="Table Grid"/>
    <w:basedOn w:val="TableNormal"/>
    <w:uiPriority w:val="59"/>
    <w:rsid w:val="00B61224"/>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HeadingBlank"/>
    <w:link w:val="rightChar"/>
    <w:rsid w:val="00B61224"/>
    <w:pPr>
      <w:keepNext w:val="0"/>
      <w:keepLines w:val="0"/>
      <w:jc w:val="right"/>
    </w:pPr>
  </w:style>
  <w:style w:type="character" w:customStyle="1" w:styleId="rightChar">
    <w:name w:val="right Char"/>
    <w:basedOn w:val="HeadingBlankChar"/>
    <w:link w:val="right"/>
    <w:rsid w:val="00B61224"/>
  </w:style>
  <w:style w:type="paragraph" w:customStyle="1" w:styleId="l2">
    <w:name w:val="l2"/>
    <w:basedOn w:val="l1"/>
    <w:link w:val="l2Char"/>
    <w:rsid w:val="00B61224"/>
    <w:pPr>
      <w:ind w:left="720"/>
    </w:pPr>
  </w:style>
  <w:style w:type="character" w:customStyle="1" w:styleId="l2Char">
    <w:name w:val="l2 Char"/>
    <w:basedOn w:val="l1Char"/>
    <w:link w:val="l2"/>
    <w:rsid w:val="00B61224"/>
  </w:style>
  <w:style w:type="character" w:styleId="Hyperlink">
    <w:name w:val="Hyperlink"/>
    <w:basedOn w:val="DefaultParagraphFont"/>
    <w:uiPriority w:val="99"/>
    <w:unhideWhenUsed/>
    <w:rsid w:val="00B61224"/>
    <w:rPr>
      <w:color w:val="0000FF" w:themeColor="hyperlink"/>
      <w:u w:val="single"/>
    </w:rPr>
  </w:style>
  <w:style w:type="character" w:customStyle="1" w:styleId="Heading4Char">
    <w:name w:val="Heading 4 Char"/>
    <w:basedOn w:val="DefaultParagraphFont"/>
    <w:link w:val="Heading4"/>
    <w:uiPriority w:val="9"/>
    <w:semiHidden/>
    <w:rsid w:val="00B61224"/>
    <w:rPr>
      <w:rFonts w:asciiTheme="majorHAnsi" w:eastAsiaTheme="majorEastAsia" w:hAnsiTheme="majorHAnsi" w:cstheme="majorBidi"/>
      <w:b/>
      <w:bCs/>
      <w:i/>
      <w:iCs/>
      <w:color w:val="4F81BD" w:themeColor="accent1"/>
      <w:sz w:val="24"/>
      <w:lang w:eastAsia="en-US"/>
    </w:rPr>
  </w:style>
  <w:style w:type="character" w:customStyle="1" w:styleId="Heading4Char1">
    <w:name w:val="Heading 4 Char1"/>
    <w:basedOn w:val="DefaultParagraphFont"/>
    <w:link w:val="Heading4"/>
    <w:uiPriority w:val="9"/>
    <w:rsid w:val="00B61224"/>
    <w:rPr>
      <w:rFonts w:ascii="Arial" w:eastAsiaTheme="majorEastAsia" w:hAnsi="Arial" w:cs="Arial"/>
      <w:bCs/>
      <w:iCs/>
      <w:color w:val="4F81BD" w:themeColor="accent1"/>
      <w:sz w:val="24"/>
      <w:u w:val="single"/>
      <w:lang w:eastAsia="en-US"/>
    </w:rPr>
  </w:style>
  <w:style w:type="paragraph" w:customStyle="1" w:styleId="l3">
    <w:name w:val="l3"/>
    <w:basedOn w:val="l2"/>
    <w:link w:val="l3Char"/>
    <w:rsid w:val="00B61224"/>
    <w:pPr>
      <w:ind w:left="1080"/>
    </w:pPr>
  </w:style>
  <w:style w:type="character" w:customStyle="1" w:styleId="l3Char">
    <w:name w:val="l3 Char"/>
    <w:basedOn w:val="l2Char"/>
    <w:link w:val="l3"/>
    <w:rsid w:val="00B61224"/>
  </w:style>
  <w:style w:type="paragraph" w:customStyle="1" w:styleId="l4">
    <w:name w:val="l4"/>
    <w:basedOn w:val="l3"/>
    <w:link w:val="l4Char"/>
    <w:rsid w:val="00B61224"/>
    <w:pPr>
      <w:ind w:left="1440"/>
    </w:pPr>
  </w:style>
  <w:style w:type="character" w:customStyle="1" w:styleId="l4Char">
    <w:name w:val="l4 Char"/>
    <w:basedOn w:val="l3Char"/>
    <w:link w:val="l4"/>
    <w:rsid w:val="00B61224"/>
  </w:style>
  <w:style w:type="paragraph" w:customStyle="1" w:styleId="l5">
    <w:name w:val="l5"/>
    <w:basedOn w:val="l4"/>
    <w:link w:val="l5Char"/>
    <w:rsid w:val="00B61224"/>
    <w:pPr>
      <w:ind w:left="1800"/>
    </w:pPr>
  </w:style>
  <w:style w:type="character" w:customStyle="1" w:styleId="l5Char">
    <w:name w:val="l5 Char"/>
    <w:basedOn w:val="l4Char"/>
    <w:link w:val="l5"/>
    <w:rsid w:val="00B61224"/>
  </w:style>
  <w:style w:type="paragraph" w:customStyle="1" w:styleId="sig">
    <w:name w:val="sig"/>
    <w:basedOn w:val="Normal"/>
    <w:link w:val="sigChar"/>
    <w:rsid w:val="00B61224"/>
    <w:pPr>
      <w:pBdr>
        <w:bottom w:val="single" w:sz="4" w:space="0" w:color="auto"/>
      </w:pBdr>
      <w:spacing w:after="240"/>
    </w:pPr>
  </w:style>
  <w:style w:type="character" w:customStyle="1" w:styleId="sigChar">
    <w:name w:val="sig Char"/>
    <w:basedOn w:val="DefaultParagraphFont"/>
    <w:link w:val="sig"/>
    <w:rsid w:val="00B61224"/>
    <w:rPr>
      <w:rFonts w:ascii="Arial" w:hAnsi="Arial" w:cs="Arial"/>
      <w:sz w:val="24"/>
      <w:lang w:eastAsia="en-US"/>
    </w:rPr>
  </w:style>
  <w:style w:type="paragraph" w:styleId="BalloonText">
    <w:name w:val="Balloon Text"/>
    <w:basedOn w:val="Normal"/>
    <w:link w:val="BalloonTextChar"/>
    <w:uiPriority w:val="99"/>
    <w:semiHidden/>
    <w:unhideWhenUsed/>
    <w:rsid w:val="000569A6"/>
    <w:rPr>
      <w:rFonts w:ascii="Tahoma" w:hAnsi="Tahoma" w:cs="Tahoma"/>
      <w:sz w:val="16"/>
      <w:szCs w:val="16"/>
    </w:rPr>
  </w:style>
  <w:style w:type="character" w:customStyle="1" w:styleId="BalloonTextChar">
    <w:name w:val="Balloon Text Char"/>
    <w:basedOn w:val="DefaultParagraphFont"/>
    <w:link w:val="BalloonText"/>
    <w:uiPriority w:val="99"/>
    <w:semiHidden/>
    <w:rsid w:val="000569A6"/>
    <w:rPr>
      <w:rFonts w:ascii="Tahoma" w:hAnsi="Tahoma" w:cs="Tahoma"/>
      <w:sz w:val="16"/>
      <w:szCs w:val="16"/>
      <w:lang w:eastAsia="en-US"/>
    </w:rPr>
  </w:style>
  <w:style w:type="paragraph" w:styleId="TOC1">
    <w:name w:val="toc 1"/>
    <w:basedOn w:val="Normal"/>
    <w:next w:val="Normal"/>
    <w:autoRedefine/>
    <w:uiPriority w:val="39"/>
    <w:unhideWhenUsed/>
    <w:rsid w:val="000569A6"/>
    <w:pPr>
      <w:spacing w:after="100"/>
    </w:pPr>
  </w:style>
  <w:style w:type="paragraph" w:styleId="TOC2">
    <w:name w:val="toc 2"/>
    <w:basedOn w:val="Normal"/>
    <w:next w:val="Normal"/>
    <w:autoRedefine/>
    <w:uiPriority w:val="39"/>
    <w:unhideWhenUsed/>
    <w:rsid w:val="000569A6"/>
    <w:pPr>
      <w:spacing w:after="100"/>
      <w:ind w:left="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witter.com/BANZATBRAIL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banzatn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banzat.org.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secretary@banzat.org.nz"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C5AAE-5656-4BE7-B598-3ED057F7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3505</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clivemary</dc:creator>
  <cp:keywords/>
  <dc:description/>
  <cp:lastModifiedBy>clivemary</cp:lastModifiedBy>
  <cp:revision>3</cp:revision>
  <dcterms:created xsi:type="dcterms:W3CDTF">2019-09-04T01:52:00Z</dcterms:created>
  <dcterms:modified xsi:type="dcterms:W3CDTF">2019-12-26T22:30:00Z</dcterms:modified>
</cp:coreProperties>
</file>